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32D7" w14:textId="77777777" w:rsidR="003A7F72" w:rsidRPr="003A7F72" w:rsidRDefault="003A7F72" w:rsidP="00D603F6">
      <w:pPr>
        <w:shd w:val="clear" w:color="auto" w:fill="FFFFFF"/>
        <w:spacing w:before="240" w:after="240" w:line="240" w:lineRule="auto"/>
        <w:jc w:val="center"/>
        <w:rPr>
          <w:rFonts w:ascii="Times New Roman" w:eastAsia="Times New Roman" w:hAnsi="Times New Roman" w:cs="Times New Roman"/>
          <w:b/>
          <w:color w:val="0F1115"/>
          <w:sz w:val="24"/>
          <w:szCs w:val="24"/>
        </w:rPr>
      </w:pPr>
      <w:r w:rsidRPr="003A7F72">
        <w:rPr>
          <w:rFonts w:ascii="Times New Roman" w:eastAsia="Times New Roman" w:hAnsi="Times New Roman" w:cs="Times New Roman"/>
          <w:b/>
          <w:bCs/>
          <w:color w:val="0F1115"/>
          <w:sz w:val="24"/>
          <w:szCs w:val="24"/>
        </w:rPr>
        <w:t>Supplementary Material</w:t>
      </w:r>
    </w:p>
    <w:p w14:paraId="6ED918BA"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The resilience paradox in transport corridors: Ecological thresholds, spatial spillovers, and infrastructure divergence in Tanzania</w:t>
      </w:r>
    </w:p>
    <w:p w14:paraId="1996815F"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*Manuscript ID: dcf0d6a6-cfa0-465a-a167-b5cae49a4185*</w:t>
      </w:r>
    </w:p>
    <w:p w14:paraId="3DEDDF45" w14:textId="77777777" w:rsidR="00950EFE" w:rsidRPr="00950EFE" w:rsidRDefault="00950EFE" w:rsidP="00950EFE">
      <w:pPr>
        <w:pStyle w:val="ds-markdown-paragraph"/>
        <w:shd w:val="clear" w:color="auto" w:fill="FFFFFF"/>
        <w:spacing w:before="240" w:beforeAutospacing="0" w:after="240" w:afterAutospacing="0"/>
        <w:rPr>
          <w:color w:val="0F1115"/>
        </w:rPr>
      </w:pPr>
      <w:r w:rsidRPr="00950EFE">
        <w:rPr>
          <w:rStyle w:val="Strong"/>
          <w:color w:val="0F1115"/>
        </w:rPr>
        <w:t>S1. Data Sources and Preprocessing</w:t>
      </w:r>
    </w:p>
    <w:p w14:paraId="699B3806" w14:textId="77777777" w:rsidR="00950EFE" w:rsidRPr="00950EFE" w:rsidRDefault="00950EFE" w:rsidP="00950EFE">
      <w:pPr>
        <w:pStyle w:val="ds-markdown-paragraph"/>
        <w:shd w:val="clear" w:color="auto" w:fill="FFFFFF"/>
        <w:spacing w:before="240" w:beforeAutospacing="0" w:after="240" w:afterAutospacing="0" w:line="276" w:lineRule="auto"/>
        <w:jc w:val="both"/>
        <w:rPr>
          <w:color w:val="0F1115"/>
        </w:rPr>
      </w:pPr>
      <w:r w:rsidRPr="00950EFE">
        <w:rPr>
          <w:color w:val="0F1115"/>
        </w:rPr>
        <w:t xml:space="preserve">This study integrates multi-source datasets to construct a consistent spatiotemporal analytical framework spanning the period 2002–2022. Nighttime lights data were obtained from the National Oceanic and Atmospheric Administration (NOAA), combining Defense Meteorological Satellite Program Operational </w:t>
      </w:r>
      <w:proofErr w:type="spellStart"/>
      <w:r w:rsidRPr="00950EFE">
        <w:rPr>
          <w:color w:val="0F1115"/>
        </w:rPr>
        <w:t>Linescan</w:t>
      </w:r>
      <w:proofErr w:type="spellEnd"/>
      <w:r w:rsidRPr="00950EFE">
        <w:rPr>
          <w:color w:val="0F1115"/>
        </w:rPr>
        <w:t xml:space="preserve"> System (DMSP-OLS) and Visible Infrared Imaging Radiometer Suite (VIIRS) products. Cross-calibration between DMSP-OLS and VIIRS was performed following established intercalibration procedures (</w:t>
      </w:r>
      <w:proofErr w:type="spellStart"/>
      <w:r w:rsidRPr="00950EFE">
        <w:rPr>
          <w:color w:val="0F1115"/>
        </w:rPr>
        <w:t>Elvidge</w:t>
      </w:r>
      <w:proofErr w:type="spellEnd"/>
      <w:r w:rsidRPr="00950EFE">
        <w:rPr>
          <w:color w:val="0F1115"/>
        </w:rPr>
        <w:t xml:space="preserve"> et al., 2014; Li et al., 2020) to ensure temporal continuity across the study period.</w:t>
      </w:r>
    </w:p>
    <w:p w14:paraId="02C135D8" w14:textId="77777777" w:rsidR="00950EFE" w:rsidRPr="00950EFE" w:rsidRDefault="00950EFE" w:rsidP="00950EFE">
      <w:pPr>
        <w:pStyle w:val="ds-markdown-paragraph"/>
        <w:shd w:val="clear" w:color="auto" w:fill="FFFFFF"/>
        <w:spacing w:before="240" w:beforeAutospacing="0" w:after="240" w:afterAutospacing="0" w:line="276" w:lineRule="auto"/>
        <w:jc w:val="both"/>
        <w:rPr>
          <w:color w:val="0F1115"/>
        </w:rPr>
      </w:pPr>
      <w:r w:rsidRPr="00950EFE">
        <w:rPr>
          <w:color w:val="0F1115"/>
        </w:rPr>
        <w:t>Environmental variables, including the Normalized Difference Vegetation Index (NDVI) and Modified Normalized Difference Water Index (MNDWI), were derived from Landsat (5, 7, and 8) and Sentinel-2 MSI Level-2A surface reflectance imagery, processed through the Google Earth Engine (GEE) cloud-computing platform (Gorelick et al., 2017). NDVI was calculated as:</w:t>
      </w:r>
    </w:p>
    <w:p w14:paraId="493B5604" w14:textId="77777777" w:rsidR="00950EFE" w:rsidRPr="00950EFE" w:rsidRDefault="00950EFE" w:rsidP="00950EFE">
      <w:pPr>
        <w:pStyle w:val="ds-markdown-paragraph"/>
        <w:shd w:val="clear" w:color="auto" w:fill="FFFFFF"/>
        <w:spacing w:before="240" w:beforeAutospacing="0" w:after="240" w:afterAutospacing="0" w:line="276" w:lineRule="auto"/>
        <w:jc w:val="both"/>
        <w:rPr>
          <w:color w:val="0F1115"/>
        </w:rPr>
      </w:pPr>
      <w:r w:rsidRPr="00950EFE">
        <w:rPr>
          <w:rStyle w:val="katex-mathml"/>
          <w:color w:val="0F1115"/>
          <w:sz w:val="29"/>
          <w:szCs w:val="29"/>
          <w:bdr w:val="none" w:sz="0" w:space="0" w:color="auto" w:frame="1"/>
        </w:rPr>
        <w:t>NDVI=(NIR−Red)</w:t>
      </w:r>
      <w:r w:rsidRPr="00950EFE">
        <w:rPr>
          <w:rStyle w:val="katex-mathml"/>
          <w:color w:val="0F1115"/>
          <w:sz w:val="29"/>
          <w:szCs w:val="29"/>
          <w:bdr w:val="none" w:sz="0" w:space="0" w:color="auto" w:frame="1"/>
        </w:rPr>
        <w:t xml:space="preserve"> </w:t>
      </w:r>
      <w:r w:rsidRPr="00950EFE">
        <w:rPr>
          <w:rStyle w:val="katex-mathml"/>
          <w:color w:val="0F1115"/>
          <w:sz w:val="29"/>
          <w:szCs w:val="29"/>
          <w:bdr w:val="none" w:sz="0" w:space="0" w:color="auto" w:frame="1"/>
        </w:rPr>
        <w:t>(NIR+</w:t>
      </w:r>
      <w:r w:rsidRPr="00950EFE">
        <w:rPr>
          <w:rStyle w:val="katex-mathml"/>
          <w:color w:val="0F1115"/>
          <w:sz w:val="29"/>
          <w:szCs w:val="29"/>
          <w:bdr w:val="none" w:sz="0" w:space="0" w:color="auto" w:frame="1"/>
        </w:rPr>
        <w:t>Red)</w:t>
      </w:r>
      <w:r w:rsidRPr="00950EFE">
        <w:rPr>
          <w:rStyle w:val="mord"/>
          <w:i/>
          <w:iCs/>
          <w:color w:val="0F1115"/>
          <w:sz w:val="29"/>
          <w:szCs w:val="29"/>
        </w:rPr>
        <w:t xml:space="preserve"> NDVI</w:t>
      </w:r>
      <w:r w:rsidRPr="00950EFE">
        <w:rPr>
          <w:rStyle w:val="mrel"/>
          <w:color w:val="0F1115"/>
          <w:sz w:val="29"/>
          <w:szCs w:val="29"/>
        </w:rPr>
        <w:t>=</w:t>
      </w:r>
      <w:r w:rsidRPr="00950EFE">
        <w:rPr>
          <w:rStyle w:val="mopen"/>
          <w:color w:val="0F1115"/>
          <w:sz w:val="20"/>
          <w:szCs w:val="20"/>
        </w:rPr>
        <w:t>(</w:t>
      </w:r>
      <w:r w:rsidRPr="00950EFE">
        <w:rPr>
          <w:rStyle w:val="mord"/>
          <w:i/>
          <w:iCs/>
          <w:color w:val="0F1115"/>
          <w:sz w:val="20"/>
          <w:szCs w:val="20"/>
        </w:rPr>
        <w:t>NIR</w:t>
      </w:r>
      <w:r w:rsidRPr="00950EFE">
        <w:rPr>
          <w:rStyle w:val="mbin"/>
          <w:color w:val="0F1115"/>
          <w:sz w:val="20"/>
          <w:szCs w:val="20"/>
        </w:rPr>
        <w:t>+</w:t>
      </w:r>
      <w:r w:rsidRPr="00950EFE">
        <w:rPr>
          <w:rStyle w:val="mord"/>
          <w:i/>
          <w:iCs/>
          <w:color w:val="0F1115"/>
          <w:sz w:val="20"/>
          <w:szCs w:val="20"/>
        </w:rPr>
        <w:t>Red</w:t>
      </w:r>
      <w:r w:rsidRPr="00950EFE">
        <w:rPr>
          <w:rStyle w:val="mclose"/>
          <w:color w:val="0F1115"/>
          <w:sz w:val="20"/>
          <w:szCs w:val="20"/>
        </w:rPr>
        <w:t>)</w:t>
      </w:r>
      <w:r w:rsidRPr="00950EFE">
        <w:rPr>
          <w:rStyle w:val="mopen"/>
          <w:color w:val="0F1115"/>
          <w:sz w:val="20"/>
          <w:szCs w:val="20"/>
        </w:rPr>
        <w:t xml:space="preserve"> (</w:t>
      </w:r>
      <w:r w:rsidRPr="00950EFE">
        <w:rPr>
          <w:rStyle w:val="mord"/>
          <w:i/>
          <w:iCs/>
          <w:color w:val="0F1115"/>
          <w:sz w:val="20"/>
          <w:szCs w:val="20"/>
        </w:rPr>
        <w:t>NIR</w:t>
      </w:r>
      <w:r w:rsidRPr="00950EFE">
        <w:rPr>
          <w:rStyle w:val="mbin"/>
          <w:color w:val="0F1115"/>
          <w:sz w:val="20"/>
          <w:szCs w:val="20"/>
        </w:rPr>
        <w:t>−</w:t>
      </w:r>
      <w:r w:rsidRPr="00950EFE">
        <w:rPr>
          <w:rStyle w:val="mord"/>
          <w:i/>
          <w:iCs/>
          <w:color w:val="0F1115"/>
          <w:sz w:val="20"/>
          <w:szCs w:val="20"/>
        </w:rPr>
        <w:t>Red</w:t>
      </w:r>
      <w:r w:rsidRPr="00950EFE">
        <w:rPr>
          <w:rStyle w:val="mclose"/>
          <w:color w:val="0F1115"/>
          <w:sz w:val="20"/>
          <w:szCs w:val="20"/>
        </w:rPr>
        <w:t>)</w:t>
      </w:r>
      <w:r w:rsidRPr="00950EFE">
        <w:rPr>
          <w:rStyle w:val="vlist-s"/>
          <w:color w:val="0F1115"/>
          <w:sz w:val="2"/>
          <w:szCs w:val="2"/>
        </w:rPr>
        <w:t xml:space="preserve"> ​</w:t>
      </w:r>
    </w:p>
    <w:p w14:paraId="045FBA4A" w14:textId="77777777" w:rsidR="00950EFE" w:rsidRPr="00950EFE" w:rsidRDefault="00950EFE" w:rsidP="00950EFE">
      <w:pPr>
        <w:pStyle w:val="ds-markdown-paragraph"/>
        <w:shd w:val="clear" w:color="auto" w:fill="FFFFFF"/>
        <w:spacing w:before="240" w:beforeAutospacing="0" w:after="240" w:afterAutospacing="0" w:line="276" w:lineRule="auto"/>
        <w:jc w:val="both"/>
        <w:rPr>
          <w:color w:val="0F1115"/>
        </w:rPr>
      </w:pPr>
      <w:r w:rsidRPr="00950EFE">
        <w:rPr>
          <w:color w:val="0F1115"/>
        </w:rPr>
        <w:t>MNDWI was calculated following Xu (2006):</w:t>
      </w:r>
    </w:p>
    <w:p w14:paraId="677A6366" w14:textId="77777777" w:rsidR="00950EFE" w:rsidRPr="00950EFE" w:rsidRDefault="00950EFE" w:rsidP="00950EFE">
      <w:pPr>
        <w:pStyle w:val="ds-markdown-paragraph"/>
        <w:shd w:val="clear" w:color="auto" w:fill="FFFFFF"/>
        <w:spacing w:before="240" w:beforeAutospacing="0" w:after="240" w:afterAutospacing="0" w:line="276" w:lineRule="auto"/>
        <w:jc w:val="both"/>
        <w:rPr>
          <w:color w:val="0F1115"/>
        </w:rPr>
      </w:pPr>
      <w:r w:rsidRPr="00950EFE">
        <w:rPr>
          <w:rStyle w:val="katex-mathml"/>
          <w:color w:val="0F1115"/>
          <w:sz w:val="29"/>
          <w:szCs w:val="29"/>
          <w:bdr w:val="none" w:sz="0" w:space="0" w:color="auto" w:frame="1"/>
        </w:rPr>
        <w:t>MNDWI=(Green−</w:t>
      </w:r>
      <w:r w:rsidRPr="00950EFE">
        <w:rPr>
          <w:rStyle w:val="katex-mathml"/>
          <w:color w:val="0F1115"/>
          <w:sz w:val="29"/>
          <w:szCs w:val="29"/>
          <w:bdr w:val="none" w:sz="0" w:space="0" w:color="auto" w:frame="1"/>
        </w:rPr>
        <w:t>SWIR) (</w:t>
      </w:r>
      <w:r w:rsidRPr="00950EFE">
        <w:rPr>
          <w:rStyle w:val="katex-mathml"/>
          <w:color w:val="0F1115"/>
          <w:sz w:val="29"/>
          <w:szCs w:val="29"/>
          <w:bdr w:val="none" w:sz="0" w:space="0" w:color="auto" w:frame="1"/>
        </w:rPr>
        <w:t>Green+</w:t>
      </w:r>
      <w:r w:rsidRPr="00950EFE">
        <w:rPr>
          <w:rStyle w:val="katex-mathml"/>
          <w:color w:val="0F1115"/>
          <w:sz w:val="29"/>
          <w:szCs w:val="29"/>
          <w:bdr w:val="none" w:sz="0" w:space="0" w:color="auto" w:frame="1"/>
        </w:rPr>
        <w:t>SWIR)</w:t>
      </w:r>
      <w:r w:rsidRPr="00950EFE">
        <w:rPr>
          <w:rStyle w:val="mord"/>
          <w:i/>
          <w:iCs/>
          <w:color w:val="0F1115"/>
          <w:sz w:val="29"/>
          <w:szCs w:val="29"/>
        </w:rPr>
        <w:t xml:space="preserve"> MNDWI</w:t>
      </w:r>
      <w:r w:rsidRPr="00950EFE">
        <w:rPr>
          <w:rStyle w:val="mrel"/>
          <w:color w:val="0F1115"/>
          <w:sz w:val="29"/>
          <w:szCs w:val="29"/>
        </w:rPr>
        <w:t>=</w:t>
      </w:r>
      <w:r w:rsidRPr="00950EFE">
        <w:rPr>
          <w:rStyle w:val="mopen"/>
          <w:color w:val="0F1115"/>
          <w:sz w:val="20"/>
          <w:szCs w:val="20"/>
        </w:rPr>
        <w:t>(</w:t>
      </w:r>
      <w:r w:rsidRPr="00950EFE">
        <w:rPr>
          <w:rStyle w:val="mord"/>
          <w:i/>
          <w:iCs/>
          <w:color w:val="0F1115"/>
          <w:sz w:val="20"/>
          <w:szCs w:val="20"/>
        </w:rPr>
        <w:t>Green</w:t>
      </w:r>
      <w:r w:rsidRPr="00950EFE">
        <w:rPr>
          <w:rStyle w:val="mbin"/>
          <w:color w:val="0F1115"/>
          <w:sz w:val="20"/>
          <w:szCs w:val="20"/>
        </w:rPr>
        <w:t>+</w:t>
      </w:r>
      <w:r w:rsidRPr="00950EFE">
        <w:rPr>
          <w:rStyle w:val="mord"/>
          <w:i/>
          <w:iCs/>
          <w:color w:val="0F1115"/>
          <w:sz w:val="20"/>
          <w:szCs w:val="20"/>
        </w:rPr>
        <w:t>SWIR</w:t>
      </w:r>
      <w:r w:rsidRPr="00950EFE">
        <w:rPr>
          <w:rStyle w:val="mclose"/>
          <w:color w:val="0F1115"/>
          <w:sz w:val="20"/>
          <w:szCs w:val="20"/>
        </w:rPr>
        <w:t>)</w:t>
      </w:r>
      <w:r w:rsidRPr="00950EFE">
        <w:rPr>
          <w:rStyle w:val="mopen"/>
          <w:color w:val="0F1115"/>
          <w:sz w:val="20"/>
          <w:szCs w:val="20"/>
        </w:rPr>
        <w:t xml:space="preserve"> (</w:t>
      </w:r>
      <w:r w:rsidRPr="00950EFE">
        <w:rPr>
          <w:rStyle w:val="mord"/>
          <w:i/>
          <w:iCs/>
          <w:color w:val="0F1115"/>
          <w:sz w:val="20"/>
          <w:szCs w:val="20"/>
        </w:rPr>
        <w:t>Green</w:t>
      </w:r>
      <w:r w:rsidRPr="00950EFE">
        <w:rPr>
          <w:rStyle w:val="mbin"/>
          <w:color w:val="0F1115"/>
          <w:sz w:val="20"/>
          <w:szCs w:val="20"/>
        </w:rPr>
        <w:t>−</w:t>
      </w:r>
      <w:r w:rsidRPr="00950EFE">
        <w:rPr>
          <w:rStyle w:val="mord"/>
          <w:i/>
          <w:iCs/>
          <w:color w:val="0F1115"/>
          <w:sz w:val="20"/>
          <w:szCs w:val="20"/>
        </w:rPr>
        <w:t>SWIR</w:t>
      </w:r>
      <w:r w:rsidRPr="00950EFE">
        <w:rPr>
          <w:rStyle w:val="mclose"/>
          <w:color w:val="0F1115"/>
          <w:sz w:val="20"/>
          <w:szCs w:val="20"/>
        </w:rPr>
        <w:t>)</w:t>
      </w:r>
      <w:r w:rsidRPr="00950EFE">
        <w:rPr>
          <w:rStyle w:val="vlist-s"/>
          <w:color w:val="0F1115"/>
          <w:sz w:val="2"/>
          <w:szCs w:val="2"/>
        </w:rPr>
        <w:t>​</w:t>
      </w:r>
    </w:p>
    <w:p w14:paraId="5D443AF0" w14:textId="77777777" w:rsidR="00950EFE" w:rsidRDefault="00950EFE" w:rsidP="00950EFE">
      <w:pPr>
        <w:pStyle w:val="ds-markdown-paragraph"/>
        <w:shd w:val="clear" w:color="auto" w:fill="FFFFFF"/>
        <w:spacing w:before="240" w:beforeAutospacing="0" w:after="240" w:afterAutospacing="0" w:line="276" w:lineRule="auto"/>
        <w:jc w:val="both"/>
        <w:rPr>
          <w:rFonts w:ascii="Segoe UI" w:hAnsi="Segoe UI" w:cs="Segoe UI"/>
          <w:color w:val="0F1115"/>
        </w:rPr>
      </w:pPr>
      <w:r w:rsidRPr="00950EFE">
        <w:rPr>
          <w:color w:val="0F1115"/>
        </w:rPr>
        <w:t>All datasets were harmonized to a common spatial resolution (approximately 1 km²) and aggregated to the 2,680-unit Hexagonal Spatial Analytical Grid (HSAG) using zonal statistics. Temporal standardization was achieved through Z-score normalization, allowing cross-regional comparison and facilitating threshold detection. Terrain variables, including slope and elevation, were derived from Shuttle Radar Topography Mission (SRTM) digital elevation data (30 m resolution) to capture geomorphological constraints influencing corridor stability and environmental resistance</w:t>
      </w:r>
      <w:r>
        <w:rPr>
          <w:rFonts w:ascii="Segoe UI" w:hAnsi="Segoe UI" w:cs="Segoe UI"/>
          <w:color w:val="0F1115"/>
        </w:rPr>
        <w:t>.</w:t>
      </w:r>
    </w:p>
    <w:p w14:paraId="1D95DED5" w14:textId="77777777" w:rsidR="00950EFE" w:rsidRDefault="00950EFE" w:rsidP="00950EFE">
      <w:pPr>
        <w:pStyle w:val="ds-markdown-paragraph"/>
        <w:shd w:val="clear" w:color="auto" w:fill="FFFFFF"/>
        <w:spacing w:before="240" w:beforeAutospacing="0" w:after="240" w:afterAutospacing="0" w:line="276" w:lineRule="auto"/>
        <w:jc w:val="both"/>
        <w:rPr>
          <w:rFonts w:ascii="Segoe UI" w:hAnsi="Segoe UI" w:cs="Segoe UI"/>
          <w:color w:val="0F1115"/>
        </w:rPr>
      </w:pPr>
    </w:p>
    <w:p w14:paraId="19925C76" w14:textId="77777777" w:rsidR="00950EFE" w:rsidRDefault="00950EFE" w:rsidP="00950EFE">
      <w:pPr>
        <w:pStyle w:val="ds-markdown-paragraph"/>
        <w:shd w:val="clear" w:color="auto" w:fill="FFFFFF"/>
        <w:spacing w:before="240" w:beforeAutospacing="0" w:after="240" w:afterAutospacing="0" w:line="276" w:lineRule="auto"/>
        <w:jc w:val="both"/>
        <w:rPr>
          <w:rFonts w:ascii="Segoe UI" w:hAnsi="Segoe UI" w:cs="Segoe UI"/>
          <w:color w:val="0F1115"/>
        </w:rPr>
      </w:pPr>
    </w:p>
    <w:p w14:paraId="1EF1CE7F" w14:textId="77777777" w:rsidR="00950EFE" w:rsidRDefault="00950EFE" w:rsidP="00950EFE">
      <w:pPr>
        <w:pStyle w:val="ds-markdown-paragraph"/>
        <w:shd w:val="clear" w:color="auto" w:fill="FFFFFF"/>
        <w:spacing w:before="240" w:beforeAutospacing="0" w:after="240" w:afterAutospacing="0" w:line="276" w:lineRule="auto"/>
        <w:jc w:val="both"/>
        <w:rPr>
          <w:rFonts w:ascii="Segoe UI" w:hAnsi="Segoe UI" w:cs="Segoe UI"/>
          <w:color w:val="0F1115"/>
        </w:rPr>
      </w:pPr>
    </w:p>
    <w:p w14:paraId="3D8B9762" w14:textId="77777777" w:rsidR="00950EFE" w:rsidRPr="00950EFE" w:rsidRDefault="00950EFE" w:rsidP="00950EFE">
      <w:pPr>
        <w:pStyle w:val="ds-markdown-paragraph"/>
        <w:shd w:val="clear" w:color="auto" w:fill="FFFFFF"/>
        <w:spacing w:before="240" w:beforeAutospacing="0" w:after="240" w:afterAutospacing="0" w:line="276" w:lineRule="auto"/>
        <w:jc w:val="both"/>
        <w:rPr>
          <w:rFonts w:ascii="Segoe UI" w:hAnsi="Segoe UI" w:cs="Segoe UI"/>
          <w:color w:val="0F1115"/>
        </w:rPr>
      </w:pPr>
    </w:p>
    <w:p w14:paraId="2F3B5BC0"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S1. Data Sources and Specifications</w:t>
      </w:r>
    </w:p>
    <w:tbl>
      <w:tblPr>
        <w:tblW w:w="0" w:type="auto"/>
        <w:tblCellMar>
          <w:top w:w="15" w:type="dxa"/>
          <w:left w:w="15" w:type="dxa"/>
          <w:bottom w:w="15" w:type="dxa"/>
          <w:right w:w="15" w:type="dxa"/>
        </w:tblCellMar>
        <w:tblLook w:val="04A0" w:firstRow="1" w:lastRow="0" w:firstColumn="1" w:lastColumn="0" w:noHBand="0" w:noVBand="1"/>
      </w:tblPr>
      <w:tblGrid>
        <w:gridCol w:w="2186"/>
        <w:gridCol w:w="2141"/>
        <w:gridCol w:w="1681"/>
        <w:gridCol w:w="1704"/>
        <w:gridCol w:w="1648"/>
      </w:tblGrid>
      <w:tr w:rsidR="003A7F72" w:rsidRPr="003A7F72" w14:paraId="7F899583" w14:textId="77777777" w:rsidTr="00F0011F">
        <w:trPr>
          <w:tblHeader/>
        </w:trPr>
        <w:tc>
          <w:tcPr>
            <w:tcW w:w="0" w:type="auto"/>
            <w:tcBorders>
              <w:top w:val="single" w:sz="6" w:space="0" w:color="auto"/>
              <w:bottom w:val="single" w:sz="6" w:space="0" w:color="auto"/>
            </w:tcBorders>
            <w:tcMar>
              <w:top w:w="150" w:type="dxa"/>
              <w:left w:w="0" w:type="dxa"/>
              <w:bottom w:w="150" w:type="dxa"/>
              <w:right w:w="240" w:type="dxa"/>
            </w:tcMar>
            <w:vAlign w:val="center"/>
            <w:hideMark/>
          </w:tcPr>
          <w:p w14:paraId="133BA3B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Variable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7204DB4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Source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3F5D224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Temporal Coverage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72F92F2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Spatial Resolution</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5C929C7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Reference</w:t>
            </w:r>
          </w:p>
        </w:tc>
      </w:tr>
      <w:tr w:rsidR="003A7F72" w:rsidRPr="003A7F72" w14:paraId="7310B437" w14:textId="77777777" w:rsidTr="00F0011F">
        <w:tc>
          <w:tcPr>
            <w:tcW w:w="0" w:type="auto"/>
            <w:tcBorders>
              <w:top w:val="single" w:sz="6" w:space="0" w:color="auto"/>
            </w:tcBorders>
            <w:tcMar>
              <w:top w:w="150" w:type="dxa"/>
              <w:left w:w="0" w:type="dxa"/>
              <w:bottom w:w="150" w:type="dxa"/>
              <w:right w:w="240" w:type="dxa"/>
            </w:tcMar>
            <w:vAlign w:val="center"/>
            <w:hideMark/>
          </w:tcPr>
          <w:p w14:paraId="5C39AE5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Nighttime Lights (DMSP-OLS)</w:t>
            </w:r>
          </w:p>
        </w:tc>
        <w:tc>
          <w:tcPr>
            <w:tcW w:w="0" w:type="auto"/>
            <w:tcBorders>
              <w:top w:val="single" w:sz="6" w:space="0" w:color="auto"/>
            </w:tcBorders>
            <w:tcMar>
              <w:top w:w="150" w:type="dxa"/>
              <w:left w:w="240" w:type="dxa"/>
              <w:bottom w:w="150" w:type="dxa"/>
              <w:right w:w="240" w:type="dxa"/>
            </w:tcMar>
            <w:vAlign w:val="center"/>
            <w:hideMark/>
          </w:tcPr>
          <w:p w14:paraId="2BE1FAE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NOAA/NCEI</w:t>
            </w:r>
          </w:p>
        </w:tc>
        <w:tc>
          <w:tcPr>
            <w:tcW w:w="0" w:type="auto"/>
            <w:tcBorders>
              <w:top w:val="single" w:sz="6" w:space="0" w:color="auto"/>
            </w:tcBorders>
            <w:tcMar>
              <w:top w:w="150" w:type="dxa"/>
              <w:left w:w="240" w:type="dxa"/>
              <w:bottom w:w="150" w:type="dxa"/>
              <w:right w:w="240" w:type="dxa"/>
            </w:tcMar>
            <w:vAlign w:val="center"/>
            <w:hideMark/>
          </w:tcPr>
          <w:p w14:paraId="176230DB"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2002–2013</w:t>
            </w:r>
          </w:p>
        </w:tc>
        <w:tc>
          <w:tcPr>
            <w:tcW w:w="0" w:type="auto"/>
            <w:tcBorders>
              <w:top w:val="single" w:sz="6" w:space="0" w:color="auto"/>
            </w:tcBorders>
            <w:tcMar>
              <w:top w:w="150" w:type="dxa"/>
              <w:left w:w="240" w:type="dxa"/>
              <w:bottom w:w="150" w:type="dxa"/>
              <w:right w:w="240" w:type="dxa"/>
            </w:tcMar>
            <w:vAlign w:val="center"/>
            <w:hideMark/>
          </w:tcPr>
          <w:p w14:paraId="2CF8EDF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 km</w:t>
            </w:r>
          </w:p>
        </w:tc>
        <w:tc>
          <w:tcPr>
            <w:tcW w:w="0" w:type="auto"/>
            <w:tcBorders>
              <w:top w:val="single" w:sz="6" w:space="0" w:color="auto"/>
            </w:tcBorders>
            <w:tcMar>
              <w:top w:w="150" w:type="dxa"/>
              <w:left w:w="240" w:type="dxa"/>
              <w:bottom w:w="150" w:type="dxa"/>
              <w:right w:w="0" w:type="dxa"/>
            </w:tcMar>
            <w:vAlign w:val="center"/>
            <w:hideMark/>
          </w:tcPr>
          <w:p w14:paraId="64CEF819" w14:textId="77777777" w:rsidR="003A7F72" w:rsidRPr="003A7F72" w:rsidRDefault="003A7F72" w:rsidP="003A7F72">
            <w:pPr>
              <w:spacing w:after="0" w:line="375" w:lineRule="atLeast"/>
              <w:rPr>
                <w:rFonts w:ascii="Times New Roman" w:eastAsia="Times New Roman" w:hAnsi="Times New Roman" w:cs="Times New Roman"/>
                <w:sz w:val="23"/>
                <w:szCs w:val="23"/>
              </w:rPr>
            </w:pPr>
            <w:proofErr w:type="spellStart"/>
            <w:r w:rsidRPr="003A7F72">
              <w:rPr>
                <w:rFonts w:ascii="Times New Roman" w:eastAsia="Times New Roman" w:hAnsi="Times New Roman" w:cs="Times New Roman"/>
                <w:sz w:val="23"/>
                <w:szCs w:val="23"/>
              </w:rPr>
              <w:t>Elvidge</w:t>
            </w:r>
            <w:proofErr w:type="spellEnd"/>
            <w:r w:rsidRPr="003A7F72">
              <w:rPr>
                <w:rFonts w:ascii="Times New Roman" w:eastAsia="Times New Roman" w:hAnsi="Times New Roman" w:cs="Times New Roman"/>
                <w:sz w:val="23"/>
                <w:szCs w:val="23"/>
              </w:rPr>
              <w:t xml:space="preserve"> et al. (2014)</w:t>
            </w:r>
          </w:p>
        </w:tc>
      </w:tr>
      <w:tr w:rsidR="003A7F72" w:rsidRPr="003A7F72" w14:paraId="27A2C4D4" w14:textId="77777777" w:rsidTr="003A7F72">
        <w:tc>
          <w:tcPr>
            <w:tcW w:w="0" w:type="auto"/>
            <w:tcMar>
              <w:top w:w="150" w:type="dxa"/>
              <w:left w:w="0" w:type="dxa"/>
              <w:bottom w:w="150" w:type="dxa"/>
              <w:right w:w="240" w:type="dxa"/>
            </w:tcMar>
            <w:vAlign w:val="center"/>
            <w:hideMark/>
          </w:tcPr>
          <w:p w14:paraId="62DE99B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Nighttime Lights (VIIRS)</w:t>
            </w:r>
          </w:p>
        </w:tc>
        <w:tc>
          <w:tcPr>
            <w:tcW w:w="0" w:type="auto"/>
            <w:tcMar>
              <w:top w:w="150" w:type="dxa"/>
              <w:left w:w="240" w:type="dxa"/>
              <w:bottom w:w="150" w:type="dxa"/>
              <w:right w:w="240" w:type="dxa"/>
            </w:tcMar>
            <w:vAlign w:val="center"/>
            <w:hideMark/>
          </w:tcPr>
          <w:p w14:paraId="10BBE58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NOAA/NCEI</w:t>
            </w:r>
          </w:p>
        </w:tc>
        <w:tc>
          <w:tcPr>
            <w:tcW w:w="0" w:type="auto"/>
            <w:tcMar>
              <w:top w:w="150" w:type="dxa"/>
              <w:left w:w="240" w:type="dxa"/>
              <w:bottom w:w="150" w:type="dxa"/>
              <w:right w:w="240" w:type="dxa"/>
            </w:tcMar>
            <w:vAlign w:val="center"/>
            <w:hideMark/>
          </w:tcPr>
          <w:p w14:paraId="136098E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2012–2022</w:t>
            </w:r>
          </w:p>
        </w:tc>
        <w:tc>
          <w:tcPr>
            <w:tcW w:w="0" w:type="auto"/>
            <w:tcMar>
              <w:top w:w="150" w:type="dxa"/>
              <w:left w:w="240" w:type="dxa"/>
              <w:bottom w:w="150" w:type="dxa"/>
              <w:right w:w="240" w:type="dxa"/>
            </w:tcMar>
            <w:vAlign w:val="center"/>
            <w:hideMark/>
          </w:tcPr>
          <w:p w14:paraId="7BD58B6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750 m</w:t>
            </w:r>
          </w:p>
        </w:tc>
        <w:tc>
          <w:tcPr>
            <w:tcW w:w="0" w:type="auto"/>
            <w:tcMar>
              <w:top w:w="150" w:type="dxa"/>
              <w:left w:w="240" w:type="dxa"/>
              <w:bottom w:w="150" w:type="dxa"/>
              <w:right w:w="0" w:type="dxa"/>
            </w:tcMar>
            <w:vAlign w:val="center"/>
            <w:hideMark/>
          </w:tcPr>
          <w:p w14:paraId="4A512FC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Li et al. (2020)</w:t>
            </w:r>
          </w:p>
        </w:tc>
      </w:tr>
      <w:tr w:rsidR="003A7F72" w:rsidRPr="003A7F72" w14:paraId="34D65E4E" w14:textId="77777777" w:rsidTr="003A7F72">
        <w:tc>
          <w:tcPr>
            <w:tcW w:w="0" w:type="auto"/>
            <w:tcMar>
              <w:top w:w="150" w:type="dxa"/>
              <w:left w:w="0" w:type="dxa"/>
              <w:bottom w:w="150" w:type="dxa"/>
              <w:right w:w="240" w:type="dxa"/>
            </w:tcMar>
            <w:vAlign w:val="center"/>
            <w:hideMark/>
          </w:tcPr>
          <w:p w14:paraId="2A65C33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NDVI</w:t>
            </w:r>
          </w:p>
        </w:tc>
        <w:tc>
          <w:tcPr>
            <w:tcW w:w="0" w:type="auto"/>
            <w:tcMar>
              <w:top w:w="150" w:type="dxa"/>
              <w:left w:w="240" w:type="dxa"/>
              <w:bottom w:w="150" w:type="dxa"/>
              <w:right w:w="240" w:type="dxa"/>
            </w:tcMar>
            <w:vAlign w:val="center"/>
            <w:hideMark/>
          </w:tcPr>
          <w:p w14:paraId="1CFE284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Landsat/Sentinel-2</w:t>
            </w:r>
          </w:p>
        </w:tc>
        <w:tc>
          <w:tcPr>
            <w:tcW w:w="0" w:type="auto"/>
            <w:tcMar>
              <w:top w:w="150" w:type="dxa"/>
              <w:left w:w="240" w:type="dxa"/>
              <w:bottom w:w="150" w:type="dxa"/>
              <w:right w:w="240" w:type="dxa"/>
            </w:tcMar>
            <w:vAlign w:val="center"/>
            <w:hideMark/>
          </w:tcPr>
          <w:p w14:paraId="5D5B56A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2002–2022</w:t>
            </w:r>
          </w:p>
        </w:tc>
        <w:tc>
          <w:tcPr>
            <w:tcW w:w="0" w:type="auto"/>
            <w:tcMar>
              <w:top w:w="150" w:type="dxa"/>
              <w:left w:w="240" w:type="dxa"/>
              <w:bottom w:w="150" w:type="dxa"/>
              <w:right w:w="240" w:type="dxa"/>
            </w:tcMar>
            <w:vAlign w:val="center"/>
            <w:hideMark/>
          </w:tcPr>
          <w:p w14:paraId="1418F78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30 m</w:t>
            </w:r>
          </w:p>
        </w:tc>
        <w:tc>
          <w:tcPr>
            <w:tcW w:w="0" w:type="auto"/>
            <w:tcMar>
              <w:top w:w="150" w:type="dxa"/>
              <w:left w:w="240" w:type="dxa"/>
              <w:bottom w:w="150" w:type="dxa"/>
              <w:right w:w="0" w:type="dxa"/>
            </w:tcMar>
            <w:vAlign w:val="center"/>
            <w:hideMark/>
          </w:tcPr>
          <w:p w14:paraId="1CDBBC6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Tucker (1979)</w:t>
            </w:r>
          </w:p>
        </w:tc>
      </w:tr>
      <w:tr w:rsidR="003A7F72" w:rsidRPr="003A7F72" w14:paraId="3B9CEE59" w14:textId="77777777" w:rsidTr="003A7F72">
        <w:tc>
          <w:tcPr>
            <w:tcW w:w="0" w:type="auto"/>
            <w:tcMar>
              <w:top w:w="150" w:type="dxa"/>
              <w:left w:w="0" w:type="dxa"/>
              <w:bottom w:w="150" w:type="dxa"/>
              <w:right w:w="240" w:type="dxa"/>
            </w:tcMar>
            <w:vAlign w:val="center"/>
            <w:hideMark/>
          </w:tcPr>
          <w:p w14:paraId="1EECAF5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MNDWI</w:t>
            </w:r>
          </w:p>
        </w:tc>
        <w:tc>
          <w:tcPr>
            <w:tcW w:w="0" w:type="auto"/>
            <w:tcMar>
              <w:top w:w="150" w:type="dxa"/>
              <w:left w:w="240" w:type="dxa"/>
              <w:bottom w:w="150" w:type="dxa"/>
              <w:right w:w="240" w:type="dxa"/>
            </w:tcMar>
            <w:vAlign w:val="center"/>
            <w:hideMark/>
          </w:tcPr>
          <w:p w14:paraId="790FE17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Landsat/Sentinel-2</w:t>
            </w:r>
          </w:p>
        </w:tc>
        <w:tc>
          <w:tcPr>
            <w:tcW w:w="0" w:type="auto"/>
            <w:tcMar>
              <w:top w:w="150" w:type="dxa"/>
              <w:left w:w="240" w:type="dxa"/>
              <w:bottom w:w="150" w:type="dxa"/>
              <w:right w:w="240" w:type="dxa"/>
            </w:tcMar>
            <w:vAlign w:val="center"/>
            <w:hideMark/>
          </w:tcPr>
          <w:p w14:paraId="71488C6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2002–2022</w:t>
            </w:r>
          </w:p>
        </w:tc>
        <w:tc>
          <w:tcPr>
            <w:tcW w:w="0" w:type="auto"/>
            <w:tcMar>
              <w:top w:w="150" w:type="dxa"/>
              <w:left w:w="240" w:type="dxa"/>
              <w:bottom w:w="150" w:type="dxa"/>
              <w:right w:w="240" w:type="dxa"/>
            </w:tcMar>
            <w:vAlign w:val="center"/>
            <w:hideMark/>
          </w:tcPr>
          <w:p w14:paraId="073F626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30 m</w:t>
            </w:r>
          </w:p>
        </w:tc>
        <w:tc>
          <w:tcPr>
            <w:tcW w:w="0" w:type="auto"/>
            <w:tcMar>
              <w:top w:w="150" w:type="dxa"/>
              <w:left w:w="240" w:type="dxa"/>
              <w:bottom w:w="150" w:type="dxa"/>
              <w:right w:w="0" w:type="dxa"/>
            </w:tcMar>
            <w:vAlign w:val="center"/>
            <w:hideMark/>
          </w:tcPr>
          <w:p w14:paraId="25AEBD3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Xu (2006)</w:t>
            </w:r>
          </w:p>
        </w:tc>
      </w:tr>
      <w:tr w:rsidR="003A7F72" w:rsidRPr="003A7F72" w14:paraId="294F0AE3" w14:textId="77777777" w:rsidTr="003A7F72">
        <w:tc>
          <w:tcPr>
            <w:tcW w:w="0" w:type="auto"/>
            <w:tcMar>
              <w:top w:w="150" w:type="dxa"/>
              <w:left w:w="0" w:type="dxa"/>
              <w:bottom w:w="150" w:type="dxa"/>
              <w:right w:w="240" w:type="dxa"/>
            </w:tcMar>
            <w:vAlign w:val="center"/>
            <w:hideMark/>
          </w:tcPr>
          <w:p w14:paraId="0E70953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Elevation/Slope</w:t>
            </w:r>
          </w:p>
        </w:tc>
        <w:tc>
          <w:tcPr>
            <w:tcW w:w="0" w:type="auto"/>
            <w:tcMar>
              <w:top w:w="150" w:type="dxa"/>
              <w:left w:w="240" w:type="dxa"/>
              <w:bottom w:w="150" w:type="dxa"/>
              <w:right w:w="240" w:type="dxa"/>
            </w:tcMar>
            <w:vAlign w:val="center"/>
            <w:hideMark/>
          </w:tcPr>
          <w:p w14:paraId="101A14E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SRTM</w:t>
            </w:r>
          </w:p>
        </w:tc>
        <w:tc>
          <w:tcPr>
            <w:tcW w:w="0" w:type="auto"/>
            <w:tcMar>
              <w:top w:w="150" w:type="dxa"/>
              <w:left w:w="240" w:type="dxa"/>
              <w:bottom w:w="150" w:type="dxa"/>
              <w:right w:w="240" w:type="dxa"/>
            </w:tcMar>
            <w:vAlign w:val="center"/>
            <w:hideMark/>
          </w:tcPr>
          <w:p w14:paraId="53A0062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2000</w:t>
            </w:r>
          </w:p>
        </w:tc>
        <w:tc>
          <w:tcPr>
            <w:tcW w:w="0" w:type="auto"/>
            <w:tcMar>
              <w:top w:w="150" w:type="dxa"/>
              <w:left w:w="240" w:type="dxa"/>
              <w:bottom w:w="150" w:type="dxa"/>
              <w:right w:w="240" w:type="dxa"/>
            </w:tcMar>
            <w:vAlign w:val="center"/>
            <w:hideMark/>
          </w:tcPr>
          <w:p w14:paraId="3D180CA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30 m</w:t>
            </w:r>
          </w:p>
        </w:tc>
        <w:tc>
          <w:tcPr>
            <w:tcW w:w="0" w:type="auto"/>
            <w:tcMar>
              <w:top w:w="150" w:type="dxa"/>
              <w:left w:w="240" w:type="dxa"/>
              <w:bottom w:w="150" w:type="dxa"/>
              <w:right w:w="0" w:type="dxa"/>
            </w:tcMar>
            <w:vAlign w:val="center"/>
            <w:hideMark/>
          </w:tcPr>
          <w:p w14:paraId="5EA98B3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Farr et al. (2007)</w:t>
            </w:r>
          </w:p>
        </w:tc>
      </w:tr>
      <w:tr w:rsidR="003A7F72" w:rsidRPr="003A7F72" w14:paraId="7EB31201" w14:textId="77777777" w:rsidTr="00D603F6">
        <w:tc>
          <w:tcPr>
            <w:tcW w:w="0" w:type="auto"/>
            <w:tcMar>
              <w:top w:w="150" w:type="dxa"/>
              <w:left w:w="0" w:type="dxa"/>
              <w:bottom w:w="150" w:type="dxa"/>
              <w:right w:w="240" w:type="dxa"/>
            </w:tcMar>
            <w:vAlign w:val="center"/>
            <w:hideMark/>
          </w:tcPr>
          <w:p w14:paraId="58615FA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Precipitation</w:t>
            </w:r>
          </w:p>
        </w:tc>
        <w:tc>
          <w:tcPr>
            <w:tcW w:w="0" w:type="auto"/>
            <w:tcMar>
              <w:top w:w="150" w:type="dxa"/>
              <w:left w:w="240" w:type="dxa"/>
              <w:bottom w:w="150" w:type="dxa"/>
              <w:right w:w="240" w:type="dxa"/>
            </w:tcMar>
            <w:vAlign w:val="center"/>
            <w:hideMark/>
          </w:tcPr>
          <w:p w14:paraId="2A9EBA6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CHIRPS</w:t>
            </w:r>
          </w:p>
        </w:tc>
        <w:tc>
          <w:tcPr>
            <w:tcW w:w="0" w:type="auto"/>
            <w:tcMar>
              <w:top w:w="150" w:type="dxa"/>
              <w:left w:w="240" w:type="dxa"/>
              <w:bottom w:w="150" w:type="dxa"/>
              <w:right w:w="240" w:type="dxa"/>
            </w:tcMar>
            <w:vAlign w:val="center"/>
            <w:hideMark/>
          </w:tcPr>
          <w:p w14:paraId="266187C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2002–2022</w:t>
            </w:r>
          </w:p>
        </w:tc>
        <w:tc>
          <w:tcPr>
            <w:tcW w:w="0" w:type="auto"/>
            <w:tcMar>
              <w:top w:w="150" w:type="dxa"/>
              <w:left w:w="240" w:type="dxa"/>
              <w:bottom w:w="150" w:type="dxa"/>
              <w:right w:w="240" w:type="dxa"/>
            </w:tcMar>
            <w:vAlign w:val="center"/>
            <w:hideMark/>
          </w:tcPr>
          <w:p w14:paraId="06A314B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~5 km</w:t>
            </w:r>
          </w:p>
        </w:tc>
        <w:tc>
          <w:tcPr>
            <w:tcW w:w="0" w:type="auto"/>
            <w:tcMar>
              <w:top w:w="150" w:type="dxa"/>
              <w:left w:w="240" w:type="dxa"/>
              <w:bottom w:w="150" w:type="dxa"/>
              <w:right w:w="0" w:type="dxa"/>
            </w:tcMar>
            <w:vAlign w:val="center"/>
            <w:hideMark/>
          </w:tcPr>
          <w:p w14:paraId="395EA37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Funk et al. (2015)</w:t>
            </w:r>
          </w:p>
        </w:tc>
      </w:tr>
      <w:tr w:rsidR="003A7F72" w:rsidRPr="003A7F72" w14:paraId="1194A1AB" w14:textId="77777777" w:rsidTr="00D603F6">
        <w:tc>
          <w:tcPr>
            <w:tcW w:w="0" w:type="auto"/>
            <w:tcBorders>
              <w:bottom w:val="single" w:sz="6" w:space="0" w:color="auto"/>
            </w:tcBorders>
            <w:tcMar>
              <w:top w:w="150" w:type="dxa"/>
              <w:left w:w="0" w:type="dxa"/>
              <w:bottom w:w="150" w:type="dxa"/>
              <w:right w:w="240" w:type="dxa"/>
            </w:tcMar>
            <w:vAlign w:val="center"/>
            <w:hideMark/>
          </w:tcPr>
          <w:p w14:paraId="36C6AC8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Population Density</w:t>
            </w:r>
          </w:p>
        </w:tc>
        <w:tc>
          <w:tcPr>
            <w:tcW w:w="0" w:type="auto"/>
            <w:tcBorders>
              <w:bottom w:val="single" w:sz="6" w:space="0" w:color="auto"/>
            </w:tcBorders>
            <w:tcMar>
              <w:top w:w="150" w:type="dxa"/>
              <w:left w:w="240" w:type="dxa"/>
              <w:bottom w:w="150" w:type="dxa"/>
              <w:right w:w="240" w:type="dxa"/>
            </w:tcMar>
            <w:vAlign w:val="center"/>
            <w:hideMark/>
          </w:tcPr>
          <w:p w14:paraId="7ED5436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WorldPop</w:t>
            </w:r>
          </w:p>
        </w:tc>
        <w:tc>
          <w:tcPr>
            <w:tcW w:w="0" w:type="auto"/>
            <w:tcBorders>
              <w:bottom w:val="single" w:sz="6" w:space="0" w:color="auto"/>
            </w:tcBorders>
            <w:tcMar>
              <w:top w:w="150" w:type="dxa"/>
              <w:left w:w="240" w:type="dxa"/>
              <w:bottom w:w="150" w:type="dxa"/>
              <w:right w:w="240" w:type="dxa"/>
            </w:tcMar>
            <w:vAlign w:val="center"/>
            <w:hideMark/>
          </w:tcPr>
          <w:p w14:paraId="5687C57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2002–2022</w:t>
            </w:r>
          </w:p>
        </w:tc>
        <w:tc>
          <w:tcPr>
            <w:tcW w:w="0" w:type="auto"/>
            <w:tcBorders>
              <w:bottom w:val="single" w:sz="6" w:space="0" w:color="auto"/>
            </w:tcBorders>
            <w:tcMar>
              <w:top w:w="150" w:type="dxa"/>
              <w:left w:w="240" w:type="dxa"/>
              <w:bottom w:w="150" w:type="dxa"/>
              <w:right w:w="240" w:type="dxa"/>
            </w:tcMar>
            <w:vAlign w:val="center"/>
            <w:hideMark/>
          </w:tcPr>
          <w:p w14:paraId="31B0756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 km</w:t>
            </w:r>
          </w:p>
        </w:tc>
        <w:tc>
          <w:tcPr>
            <w:tcW w:w="0" w:type="auto"/>
            <w:tcBorders>
              <w:bottom w:val="single" w:sz="6" w:space="0" w:color="auto"/>
            </w:tcBorders>
            <w:tcMar>
              <w:top w:w="150" w:type="dxa"/>
              <w:left w:w="240" w:type="dxa"/>
              <w:bottom w:w="150" w:type="dxa"/>
              <w:right w:w="0" w:type="dxa"/>
            </w:tcMar>
            <w:vAlign w:val="center"/>
            <w:hideMark/>
          </w:tcPr>
          <w:p w14:paraId="5993AE5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WorldPop (2020)</w:t>
            </w:r>
          </w:p>
        </w:tc>
      </w:tr>
    </w:tbl>
    <w:p w14:paraId="0E0AD0FA"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S2. Spatial Weight Matrix Specification</w:t>
      </w:r>
    </w:p>
    <w:p w14:paraId="4FFFAE9B" w14:textId="77777777" w:rsidR="003A7F72" w:rsidRPr="003A7F72" w:rsidRDefault="003A7F72" w:rsidP="00D603F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Spatial relationships were defined using a k-nearest neighbor (KNN) approach with k = 8 nearest neighbors, ensuring consistent connectivity across the 2,680 hexagonal units. The spatial weight matrix was constructed using inverse distance weighting and row-standardized such that each row sums to unity, preserving comparability across observations and ensuring consistent interpretation of spatial spillover effects (LeSage &amp; Pace, 2009).</w:t>
      </w:r>
    </w:p>
    <w:p w14:paraId="1EDA5B75"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Sensitivity Analysis:</w:t>
      </w:r>
    </w:p>
    <w:p w14:paraId="39F3679A"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lastRenderedPageBreak/>
        <w:t>Sensitivity analysis was conducted using alternative specifications k = 6 and k = 10 to assess the stability of model estimates. Results indicated that k = 8 provided optimal model stability based on log-likelihood values, residual diagnostics, and Akaike Information Criterion (AIC):</w:t>
      </w:r>
    </w:p>
    <w:tbl>
      <w:tblPr>
        <w:tblW w:w="8963" w:type="dxa"/>
        <w:tblCellMar>
          <w:top w:w="15" w:type="dxa"/>
          <w:left w:w="15" w:type="dxa"/>
          <w:bottom w:w="15" w:type="dxa"/>
          <w:right w:w="15" w:type="dxa"/>
        </w:tblCellMar>
        <w:tblLook w:val="04A0" w:firstRow="1" w:lastRow="0" w:firstColumn="1" w:lastColumn="0" w:noHBand="0" w:noVBand="1"/>
      </w:tblPr>
      <w:tblGrid>
        <w:gridCol w:w="1855"/>
        <w:gridCol w:w="2471"/>
        <w:gridCol w:w="1493"/>
        <w:gridCol w:w="3144"/>
      </w:tblGrid>
      <w:tr w:rsidR="003A7F72" w:rsidRPr="003A7F72" w14:paraId="68DA89A2" w14:textId="77777777" w:rsidTr="00A51480">
        <w:trPr>
          <w:trHeight w:val="391"/>
          <w:tblHeader/>
        </w:trPr>
        <w:tc>
          <w:tcPr>
            <w:tcW w:w="0" w:type="auto"/>
            <w:tcBorders>
              <w:top w:val="single" w:sz="6" w:space="0" w:color="auto"/>
              <w:bottom w:val="single" w:sz="6" w:space="0" w:color="auto"/>
            </w:tcBorders>
            <w:tcMar>
              <w:top w:w="150" w:type="dxa"/>
              <w:left w:w="0" w:type="dxa"/>
              <w:bottom w:w="150" w:type="dxa"/>
              <w:right w:w="240" w:type="dxa"/>
            </w:tcMar>
            <w:vAlign w:val="center"/>
            <w:hideMark/>
          </w:tcPr>
          <w:p w14:paraId="49DA5F7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Specification</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598CBD2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Log-Likelihood</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074277F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AIC</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1C00E19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Moran's I (Residuals)</w:t>
            </w:r>
          </w:p>
        </w:tc>
      </w:tr>
      <w:tr w:rsidR="003A7F72" w:rsidRPr="003A7F72" w14:paraId="02401D23" w14:textId="77777777" w:rsidTr="00A51480">
        <w:trPr>
          <w:trHeight w:val="391"/>
        </w:trPr>
        <w:tc>
          <w:tcPr>
            <w:tcW w:w="0" w:type="auto"/>
            <w:tcBorders>
              <w:top w:val="single" w:sz="6" w:space="0" w:color="auto"/>
            </w:tcBorders>
            <w:tcMar>
              <w:top w:w="150" w:type="dxa"/>
              <w:left w:w="0" w:type="dxa"/>
              <w:bottom w:w="150" w:type="dxa"/>
              <w:right w:w="240" w:type="dxa"/>
            </w:tcMar>
            <w:vAlign w:val="center"/>
            <w:hideMark/>
          </w:tcPr>
          <w:p w14:paraId="22DF05C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k = 6</w:t>
            </w:r>
          </w:p>
        </w:tc>
        <w:tc>
          <w:tcPr>
            <w:tcW w:w="0" w:type="auto"/>
            <w:tcBorders>
              <w:top w:val="single" w:sz="6" w:space="0" w:color="auto"/>
            </w:tcBorders>
            <w:tcMar>
              <w:top w:w="150" w:type="dxa"/>
              <w:left w:w="240" w:type="dxa"/>
              <w:bottom w:w="150" w:type="dxa"/>
              <w:right w:w="240" w:type="dxa"/>
            </w:tcMar>
            <w:vAlign w:val="center"/>
            <w:hideMark/>
          </w:tcPr>
          <w:p w14:paraId="60ECD19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-3,715.4</w:t>
            </w:r>
          </w:p>
        </w:tc>
        <w:tc>
          <w:tcPr>
            <w:tcW w:w="0" w:type="auto"/>
            <w:tcBorders>
              <w:top w:val="single" w:sz="6" w:space="0" w:color="auto"/>
            </w:tcBorders>
            <w:tcMar>
              <w:top w:w="150" w:type="dxa"/>
              <w:left w:w="240" w:type="dxa"/>
              <w:bottom w:w="150" w:type="dxa"/>
              <w:right w:w="240" w:type="dxa"/>
            </w:tcMar>
            <w:vAlign w:val="center"/>
            <w:hideMark/>
          </w:tcPr>
          <w:p w14:paraId="78329B0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7,448.8</w:t>
            </w:r>
          </w:p>
        </w:tc>
        <w:tc>
          <w:tcPr>
            <w:tcW w:w="0" w:type="auto"/>
            <w:tcBorders>
              <w:top w:val="single" w:sz="6" w:space="0" w:color="auto"/>
            </w:tcBorders>
            <w:tcMar>
              <w:top w:w="150" w:type="dxa"/>
              <w:left w:w="240" w:type="dxa"/>
              <w:bottom w:w="150" w:type="dxa"/>
              <w:right w:w="0" w:type="dxa"/>
            </w:tcMar>
            <w:vAlign w:val="center"/>
            <w:hideMark/>
          </w:tcPr>
          <w:p w14:paraId="487316D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0.152</w:t>
            </w:r>
          </w:p>
        </w:tc>
      </w:tr>
      <w:tr w:rsidR="003A7F72" w:rsidRPr="003A7F72" w14:paraId="4B9B6C03" w14:textId="77777777" w:rsidTr="00A51480">
        <w:trPr>
          <w:trHeight w:val="391"/>
        </w:trPr>
        <w:tc>
          <w:tcPr>
            <w:tcW w:w="0" w:type="auto"/>
            <w:tcMar>
              <w:top w:w="150" w:type="dxa"/>
              <w:left w:w="0" w:type="dxa"/>
              <w:bottom w:w="150" w:type="dxa"/>
              <w:right w:w="240" w:type="dxa"/>
            </w:tcMar>
            <w:vAlign w:val="center"/>
            <w:hideMark/>
          </w:tcPr>
          <w:p w14:paraId="70AA71D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k = 8</w:t>
            </w:r>
          </w:p>
        </w:tc>
        <w:tc>
          <w:tcPr>
            <w:tcW w:w="0" w:type="auto"/>
            <w:tcMar>
              <w:top w:w="150" w:type="dxa"/>
              <w:left w:w="240" w:type="dxa"/>
              <w:bottom w:w="150" w:type="dxa"/>
              <w:right w:w="240" w:type="dxa"/>
            </w:tcMar>
            <w:vAlign w:val="center"/>
            <w:hideMark/>
          </w:tcPr>
          <w:p w14:paraId="55DD88A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-3,711.8</w:t>
            </w:r>
          </w:p>
        </w:tc>
        <w:tc>
          <w:tcPr>
            <w:tcW w:w="0" w:type="auto"/>
            <w:tcMar>
              <w:top w:w="150" w:type="dxa"/>
              <w:left w:w="240" w:type="dxa"/>
              <w:bottom w:w="150" w:type="dxa"/>
              <w:right w:w="240" w:type="dxa"/>
            </w:tcMar>
            <w:vAlign w:val="center"/>
            <w:hideMark/>
          </w:tcPr>
          <w:p w14:paraId="2ECFD60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7,439.7</w:t>
            </w:r>
          </w:p>
        </w:tc>
        <w:tc>
          <w:tcPr>
            <w:tcW w:w="0" w:type="auto"/>
            <w:tcMar>
              <w:top w:w="150" w:type="dxa"/>
              <w:left w:w="240" w:type="dxa"/>
              <w:bottom w:w="150" w:type="dxa"/>
              <w:right w:w="0" w:type="dxa"/>
            </w:tcMar>
            <w:vAlign w:val="center"/>
            <w:hideMark/>
          </w:tcPr>
          <w:p w14:paraId="76523A8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0.148</w:t>
            </w:r>
          </w:p>
        </w:tc>
      </w:tr>
      <w:tr w:rsidR="003A7F72" w:rsidRPr="003A7F72" w14:paraId="0B76F2F1" w14:textId="77777777" w:rsidTr="00A51480">
        <w:trPr>
          <w:trHeight w:val="391"/>
        </w:trPr>
        <w:tc>
          <w:tcPr>
            <w:tcW w:w="0" w:type="auto"/>
            <w:tcBorders>
              <w:bottom w:val="single" w:sz="6" w:space="0" w:color="auto"/>
            </w:tcBorders>
            <w:tcMar>
              <w:top w:w="150" w:type="dxa"/>
              <w:left w:w="0" w:type="dxa"/>
              <w:bottom w:w="150" w:type="dxa"/>
              <w:right w:w="240" w:type="dxa"/>
            </w:tcMar>
            <w:vAlign w:val="center"/>
            <w:hideMark/>
          </w:tcPr>
          <w:p w14:paraId="248B806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k = 10</w:t>
            </w:r>
          </w:p>
        </w:tc>
        <w:tc>
          <w:tcPr>
            <w:tcW w:w="0" w:type="auto"/>
            <w:tcBorders>
              <w:bottom w:val="single" w:sz="6" w:space="0" w:color="auto"/>
            </w:tcBorders>
            <w:tcMar>
              <w:top w:w="150" w:type="dxa"/>
              <w:left w:w="240" w:type="dxa"/>
              <w:bottom w:w="150" w:type="dxa"/>
              <w:right w:w="240" w:type="dxa"/>
            </w:tcMar>
            <w:vAlign w:val="center"/>
            <w:hideMark/>
          </w:tcPr>
          <w:p w14:paraId="16C932E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-3,713.9</w:t>
            </w:r>
          </w:p>
        </w:tc>
        <w:tc>
          <w:tcPr>
            <w:tcW w:w="0" w:type="auto"/>
            <w:tcBorders>
              <w:bottom w:val="single" w:sz="6" w:space="0" w:color="auto"/>
            </w:tcBorders>
            <w:tcMar>
              <w:top w:w="150" w:type="dxa"/>
              <w:left w:w="240" w:type="dxa"/>
              <w:bottom w:w="150" w:type="dxa"/>
              <w:right w:w="240" w:type="dxa"/>
            </w:tcMar>
            <w:vAlign w:val="center"/>
            <w:hideMark/>
          </w:tcPr>
          <w:p w14:paraId="3FB19E3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7,445.8</w:t>
            </w:r>
          </w:p>
        </w:tc>
        <w:tc>
          <w:tcPr>
            <w:tcW w:w="0" w:type="auto"/>
            <w:tcBorders>
              <w:bottom w:val="single" w:sz="6" w:space="0" w:color="auto"/>
            </w:tcBorders>
            <w:tcMar>
              <w:top w:w="150" w:type="dxa"/>
              <w:left w:w="240" w:type="dxa"/>
              <w:bottom w:w="150" w:type="dxa"/>
              <w:right w:w="0" w:type="dxa"/>
            </w:tcMar>
            <w:vAlign w:val="center"/>
            <w:hideMark/>
          </w:tcPr>
          <w:p w14:paraId="1C0F212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0.151</w:t>
            </w:r>
          </w:p>
        </w:tc>
      </w:tr>
    </w:tbl>
    <w:p w14:paraId="6D52B601" w14:textId="77777777" w:rsidR="003A7F72" w:rsidRPr="003A7F72" w:rsidRDefault="003A7F72" w:rsidP="00A51480">
      <w:pPr>
        <w:shd w:val="clear" w:color="auto" w:fill="FFFFFF"/>
        <w:spacing w:before="240" w:after="240" w:line="240"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configuration k = 8 was selected as it yielded the highest log-likelihood, the lowest AIC, and minimized residual spatial autocorrelation, ensuring balanced representation of local and regional interactions (</w:t>
      </w:r>
      <w:proofErr w:type="spellStart"/>
      <w:r w:rsidRPr="003A7F72">
        <w:rPr>
          <w:rFonts w:ascii="Times New Roman" w:eastAsia="Times New Roman" w:hAnsi="Times New Roman" w:cs="Times New Roman"/>
          <w:color w:val="0F1115"/>
          <w:sz w:val="24"/>
          <w:szCs w:val="24"/>
        </w:rPr>
        <w:t>Elhorst</w:t>
      </w:r>
      <w:proofErr w:type="spellEnd"/>
      <w:r w:rsidRPr="003A7F72">
        <w:rPr>
          <w:rFonts w:ascii="Times New Roman" w:eastAsia="Times New Roman" w:hAnsi="Times New Roman" w:cs="Times New Roman"/>
          <w:color w:val="0F1115"/>
          <w:sz w:val="24"/>
          <w:szCs w:val="24"/>
        </w:rPr>
        <w:t>, 2014).</w:t>
      </w:r>
    </w:p>
    <w:p w14:paraId="191D35E2"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S3. Spatial Durbin Model Estimation</w:t>
      </w:r>
    </w:p>
    <w:p w14:paraId="10A8D9C6" w14:textId="77777777" w:rsidR="003A7F72" w:rsidRPr="003A7F72" w:rsidRDefault="003A7F72" w:rsidP="00A51480">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 xml:space="preserve">The Spatial Durbin Model (SDM) was estimated to capture both direct and indirect (spillover) effects of explanatory variables on economic activity. The SDM was selected for its ability to simultaneously estimate endogenous spatial dependence and exogenous spillover transmission across neighboring spatial units (LeSage &amp; Pace, 2009; </w:t>
      </w:r>
      <w:proofErr w:type="spellStart"/>
      <w:r w:rsidRPr="003A7F72">
        <w:rPr>
          <w:rFonts w:ascii="Times New Roman" w:eastAsia="Times New Roman" w:hAnsi="Times New Roman" w:cs="Times New Roman"/>
          <w:color w:val="0F1115"/>
          <w:sz w:val="24"/>
          <w:szCs w:val="24"/>
        </w:rPr>
        <w:t>Elhorst</w:t>
      </w:r>
      <w:proofErr w:type="spellEnd"/>
      <w:r w:rsidRPr="003A7F72">
        <w:rPr>
          <w:rFonts w:ascii="Times New Roman" w:eastAsia="Times New Roman" w:hAnsi="Times New Roman" w:cs="Times New Roman"/>
          <w:color w:val="0F1115"/>
          <w:sz w:val="24"/>
          <w:szCs w:val="24"/>
        </w:rPr>
        <w:t>, 2014).</w:t>
      </w:r>
    </w:p>
    <w:p w14:paraId="38B73D06"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model is formally specified as:</w:t>
      </w:r>
    </w:p>
    <w:p w14:paraId="68ACDC94"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9"/>
          <w:szCs w:val="29"/>
          <w:bdr w:val="none" w:sz="0" w:space="0" w:color="auto" w:frame="1"/>
        </w:rPr>
        <w:t>y=ρWy+Xβ+WXθ+ϵ</w:t>
      </w:r>
      <w:r w:rsidRPr="003A7F72">
        <w:rPr>
          <w:rFonts w:ascii="Times New Roman" w:eastAsia="Times New Roman" w:hAnsi="Times New Roman" w:cs="Times New Roman"/>
          <w:i/>
          <w:iCs/>
          <w:color w:val="0F1115"/>
          <w:sz w:val="29"/>
          <w:szCs w:val="29"/>
        </w:rPr>
        <w:t>y</w:t>
      </w:r>
      <w:r w:rsidRPr="003A7F72">
        <w:rPr>
          <w:rFonts w:ascii="Times New Roman" w:eastAsia="Times New Roman" w:hAnsi="Times New Roman" w:cs="Times New Roman"/>
          <w:color w:val="0F1115"/>
          <w:sz w:val="29"/>
          <w:szCs w:val="29"/>
        </w:rPr>
        <w:t>=</w:t>
      </w:r>
      <w:r w:rsidRPr="003A7F72">
        <w:rPr>
          <w:rFonts w:ascii="Times New Roman" w:eastAsia="Times New Roman" w:hAnsi="Times New Roman" w:cs="Times New Roman"/>
          <w:i/>
          <w:iCs/>
          <w:color w:val="0F1115"/>
          <w:sz w:val="29"/>
          <w:szCs w:val="29"/>
        </w:rPr>
        <w:t>ρWy</w:t>
      </w:r>
      <w:r w:rsidRPr="003A7F72">
        <w:rPr>
          <w:rFonts w:ascii="Times New Roman" w:eastAsia="Times New Roman" w:hAnsi="Times New Roman" w:cs="Times New Roman"/>
          <w:color w:val="0F1115"/>
          <w:sz w:val="29"/>
          <w:szCs w:val="29"/>
        </w:rPr>
        <w:t>+</w:t>
      </w:r>
      <w:r w:rsidRPr="003A7F72">
        <w:rPr>
          <w:rFonts w:ascii="Times New Roman" w:eastAsia="Times New Roman" w:hAnsi="Times New Roman" w:cs="Times New Roman"/>
          <w:i/>
          <w:iCs/>
          <w:color w:val="0F1115"/>
          <w:sz w:val="29"/>
          <w:szCs w:val="29"/>
        </w:rPr>
        <w:t>Xβ</w:t>
      </w:r>
      <w:r w:rsidRPr="003A7F72">
        <w:rPr>
          <w:rFonts w:ascii="Times New Roman" w:eastAsia="Times New Roman" w:hAnsi="Times New Roman" w:cs="Times New Roman"/>
          <w:color w:val="0F1115"/>
          <w:sz w:val="29"/>
          <w:szCs w:val="29"/>
        </w:rPr>
        <w:t>+</w:t>
      </w:r>
      <w:r w:rsidRPr="003A7F72">
        <w:rPr>
          <w:rFonts w:ascii="Times New Roman" w:eastAsia="Times New Roman" w:hAnsi="Times New Roman" w:cs="Times New Roman"/>
          <w:i/>
          <w:iCs/>
          <w:color w:val="0F1115"/>
          <w:sz w:val="29"/>
          <w:szCs w:val="29"/>
        </w:rPr>
        <w:t>WXθ</w:t>
      </w:r>
      <w:r w:rsidRPr="003A7F72">
        <w:rPr>
          <w:rFonts w:ascii="Times New Roman" w:eastAsia="Times New Roman" w:hAnsi="Times New Roman" w:cs="Times New Roman"/>
          <w:color w:val="0F1115"/>
          <w:sz w:val="29"/>
          <w:szCs w:val="29"/>
        </w:rPr>
        <w:t>+</w:t>
      </w:r>
      <w:r w:rsidRPr="003A7F72">
        <w:rPr>
          <w:rFonts w:ascii="Times New Roman" w:eastAsia="Times New Roman" w:hAnsi="Times New Roman" w:cs="Times New Roman"/>
          <w:i/>
          <w:iCs/>
          <w:color w:val="0F1115"/>
          <w:sz w:val="29"/>
          <w:szCs w:val="29"/>
        </w:rPr>
        <w:t>ϵ</w:t>
      </w:r>
    </w:p>
    <w:p w14:paraId="4A970BF5"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where:</w:t>
      </w:r>
    </w:p>
    <w:p w14:paraId="1FB288F4"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*y* = economic activity (Nighttime Lights, NTL)</w:t>
      </w:r>
    </w:p>
    <w:p w14:paraId="1F3CAF0A"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W</w:t>
      </w:r>
      <w:r w:rsidRPr="003A7F72">
        <w:rPr>
          <w:rFonts w:ascii="Times New Roman" w:eastAsia="Times New Roman" w:hAnsi="Times New Roman" w:cs="Times New Roman"/>
          <w:color w:val="0F1115"/>
          <w:sz w:val="24"/>
          <w:szCs w:val="24"/>
        </w:rPr>
        <w:t> = spatial weight matrix (k = 8 nearest neighbors)</w:t>
      </w:r>
    </w:p>
    <w:p w14:paraId="7613E786"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ρ</w:t>
      </w:r>
      <w:r w:rsidRPr="003A7F72">
        <w:rPr>
          <w:rFonts w:ascii="Times New Roman" w:eastAsia="Times New Roman" w:hAnsi="Times New Roman" w:cs="Times New Roman"/>
          <w:color w:val="0F1115"/>
          <w:sz w:val="24"/>
          <w:szCs w:val="24"/>
        </w:rPr>
        <w:t> = spatial autoregressive coefficient</w:t>
      </w:r>
    </w:p>
    <w:p w14:paraId="74A5F829"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X</w:t>
      </w:r>
      <w:r w:rsidRPr="003A7F72">
        <w:rPr>
          <w:rFonts w:ascii="Times New Roman" w:eastAsia="Times New Roman" w:hAnsi="Times New Roman" w:cs="Times New Roman"/>
          <w:color w:val="0F1115"/>
          <w:sz w:val="24"/>
          <w:szCs w:val="24"/>
        </w:rPr>
        <w:t> = matrix of explanatory variables</w:t>
      </w:r>
    </w:p>
    <w:p w14:paraId="1E2E4019"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β</w:t>
      </w:r>
      <w:r w:rsidRPr="003A7F72">
        <w:rPr>
          <w:rFonts w:ascii="Times New Roman" w:eastAsia="Times New Roman" w:hAnsi="Times New Roman" w:cs="Times New Roman"/>
          <w:color w:val="0F1115"/>
          <w:sz w:val="24"/>
          <w:szCs w:val="24"/>
        </w:rPr>
        <w:t> = direct effect coefficients</w:t>
      </w:r>
    </w:p>
    <w:p w14:paraId="6F5DB4A7"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θ</w:t>
      </w:r>
      <w:r w:rsidRPr="003A7F72">
        <w:rPr>
          <w:rFonts w:ascii="Times New Roman" w:eastAsia="Times New Roman" w:hAnsi="Times New Roman" w:cs="Times New Roman"/>
          <w:color w:val="0F1115"/>
          <w:sz w:val="24"/>
          <w:szCs w:val="24"/>
        </w:rPr>
        <w:t> = indirect (spillover) effect coefficients</w:t>
      </w:r>
    </w:p>
    <w:p w14:paraId="78E865FF" w14:textId="77777777" w:rsidR="003A7F72" w:rsidRPr="003A7F72" w:rsidRDefault="003A7F72" w:rsidP="003A7F72">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i/>
          <w:iCs/>
          <w:color w:val="0F1115"/>
          <w:sz w:val="24"/>
          <w:szCs w:val="24"/>
        </w:rPr>
        <w:t>ϵ</w:t>
      </w:r>
      <w:r w:rsidRPr="003A7F72">
        <w:rPr>
          <w:rFonts w:ascii="Times New Roman" w:eastAsia="Times New Roman" w:hAnsi="Times New Roman" w:cs="Times New Roman"/>
          <w:color w:val="0F1115"/>
          <w:sz w:val="24"/>
          <w:szCs w:val="24"/>
        </w:rPr>
        <w:t> = error term</w:t>
      </w:r>
    </w:p>
    <w:p w14:paraId="069DE73E" w14:textId="77777777" w:rsidR="00A51480" w:rsidRDefault="00A51480" w:rsidP="003A7F72">
      <w:pPr>
        <w:shd w:val="clear" w:color="auto" w:fill="FFFFFF"/>
        <w:spacing w:before="240" w:after="240" w:line="240" w:lineRule="auto"/>
        <w:rPr>
          <w:rFonts w:ascii="Times New Roman" w:eastAsia="Times New Roman" w:hAnsi="Times New Roman" w:cs="Times New Roman"/>
          <w:b/>
          <w:bCs/>
          <w:color w:val="0F1115"/>
          <w:sz w:val="24"/>
          <w:szCs w:val="24"/>
        </w:rPr>
      </w:pPr>
    </w:p>
    <w:p w14:paraId="72BCF5E2" w14:textId="77777777" w:rsidR="00A51480" w:rsidRDefault="00A51480" w:rsidP="003A7F72">
      <w:pPr>
        <w:shd w:val="clear" w:color="auto" w:fill="FFFFFF"/>
        <w:spacing w:before="240" w:after="240" w:line="240" w:lineRule="auto"/>
        <w:rPr>
          <w:rFonts w:ascii="Times New Roman" w:eastAsia="Times New Roman" w:hAnsi="Times New Roman" w:cs="Times New Roman"/>
          <w:b/>
          <w:bCs/>
          <w:color w:val="0F1115"/>
          <w:sz w:val="24"/>
          <w:szCs w:val="24"/>
        </w:rPr>
      </w:pPr>
    </w:p>
    <w:p w14:paraId="5631E06D" w14:textId="77777777" w:rsidR="00A51480" w:rsidRDefault="00A51480" w:rsidP="003A7F72">
      <w:pPr>
        <w:shd w:val="clear" w:color="auto" w:fill="FFFFFF"/>
        <w:spacing w:before="240" w:after="240" w:line="240" w:lineRule="auto"/>
        <w:rPr>
          <w:rFonts w:ascii="Times New Roman" w:eastAsia="Times New Roman" w:hAnsi="Times New Roman" w:cs="Times New Roman"/>
          <w:b/>
          <w:bCs/>
          <w:color w:val="0F1115"/>
          <w:sz w:val="24"/>
          <w:szCs w:val="24"/>
        </w:rPr>
      </w:pPr>
    </w:p>
    <w:p w14:paraId="527BA338" w14:textId="77777777" w:rsidR="00D603F6" w:rsidRDefault="00D603F6" w:rsidP="003A7F72">
      <w:pPr>
        <w:shd w:val="clear" w:color="auto" w:fill="FFFFFF"/>
        <w:spacing w:before="240" w:after="240" w:line="240" w:lineRule="auto"/>
        <w:rPr>
          <w:rFonts w:ascii="Times New Roman" w:eastAsia="Times New Roman" w:hAnsi="Times New Roman" w:cs="Times New Roman"/>
          <w:b/>
          <w:bCs/>
          <w:color w:val="0F1115"/>
          <w:sz w:val="24"/>
          <w:szCs w:val="24"/>
        </w:rPr>
      </w:pPr>
    </w:p>
    <w:p w14:paraId="6C316B37" w14:textId="77777777" w:rsidR="00D603F6" w:rsidRDefault="00D603F6" w:rsidP="003A7F72">
      <w:pPr>
        <w:shd w:val="clear" w:color="auto" w:fill="FFFFFF"/>
        <w:spacing w:before="240" w:after="240" w:line="240" w:lineRule="auto"/>
        <w:rPr>
          <w:rFonts w:ascii="Times New Roman" w:eastAsia="Times New Roman" w:hAnsi="Times New Roman" w:cs="Times New Roman"/>
          <w:b/>
          <w:bCs/>
          <w:color w:val="0F1115"/>
          <w:sz w:val="24"/>
          <w:szCs w:val="24"/>
        </w:rPr>
      </w:pPr>
    </w:p>
    <w:p w14:paraId="3EEB0EF2"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S2. Full SDM Estimation Results</w:t>
      </w:r>
    </w:p>
    <w:tbl>
      <w:tblPr>
        <w:tblW w:w="0" w:type="auto"/>
        <w:tblCellMar>
          <w:top w:w="15" w:type="dxa"/>
          <w:left w:w="15" w:type="dxa"/>
          <w:bottom w:w="15" w:type="dxa"/>
          <w:right w:w="15" w:type="dxa"/>
        </w:tblCellMar>
        <w:tblLook w:val="04A0" w:firstRow="1" w:lastRow="0" w:firstColumn="1" w:lastColumn="0" w:noHBand="0" w:noVBand="1"/>
      </w:tblPr>
      <w:tblGrid>
        <w:gridCol w:w="2089"/>
        <w:gridCol w:w="1474"/>
        <w:gridCol w:w="1595"/>
        <w:gridCol w:w="1417"/>
        <w:gridCol w:w="1155"/>
        <w:gridCol w:w="1630"/>
      </w:tblGrid>
      <w:tr w:rsidR="003A7F72" w:rsidRPr="003A7F72" w14:paraId="51BA4FCF" w14:textId="77777777" w:rsidTr="00A51480">
        <w:trPr>
          <w:tblHeader/>
        </w:trPr>
        <w:tc>
          <w:tcPr>
            <w:tcW w:w="0" w:type="auto"/>
            <w:tcBorders>
              <w:top w:val="single" w:sz="6" w:space="0" w:color="auto"/>
              <w:bottom w:val="single" w:sz="6" w:space="0" w:color="auto"/>
            </w:tcBorders>
            <w:tcMar>
              <w:top w:w="150" w:type="dxa"/>
              <w:left w:w="0" w:type="dxa"/>
              <w:bottom w:w="150" w:type="dxa"/>
              <w:right w:w="240" w:type="dxa"/>
            </w:tcMar>
            <w:vAlign w:val="center"/>
            <w:hideMark/>
          </w:tcPr>
          <w:p w14:paraId="5AA93E6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Variable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29CB726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Direct Effect</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7CF168E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Indirect Effect</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5451832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Total Effect</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5621ACC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p-value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64EF772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Significance</w:t>
            </w:r>
          </w:p>
        </w:tc>
      </w:tr>
      <w:tr w:rsidR="003A7F72" w:rsidRPr="003A7F72" w14:paraId="7092EB44" w14:textId="77777777" w:rsidTr="00A51480">
        <w:tc>
          <w:tcPr>
            <w:tcW w:w="0" w:type="auto"/>
            <w:tcBorders>
              <w:top w:val="single" w:sz="6" w:space="0" w:color="auto"/>
            </w:tcBorders>
            <w:tcMar>
              <w:top w:w="150" w:type="dxa"/>
              <w:left w:w="0" w:type="dxa"/>
              <w:bottom w:w="150" w:type="dxa"/>
              <w:right w:w="240" w:type="dxa"/>
            </w:tcMar>
            <w:vAlign w:val="center"/>
            <w:hideMark/>
          </w:tcPr>
          <w:p w14:paraId="739486B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NDVI</w:t>
            </w:r>
          </w:p>
        </w:tc>
        <w:tc>
          <w:tcPr>
            <w:tcW w:w="0" w:type="auto"/>
            <w:tcBorders>
              <w:top w:val="single" w:sz="6" w:space="0" w:color="auto"/>
            </w:tcBorders>
            <w:tcMar>
              <w:top w:w="150" w:type="dxa"/>
              <w:left w:w="240" w:type="dxa"/>
              <w:bottom w:w="150" w:type="dxa"/>
              <w:right w:w="240" w:type="dxa"/>
            </w:tcMar>
            <w:vAlign w:val="center"/>
            <w:hideMark/>
          </w:tcPr>
          <w:p w14:paraId="24014ED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-1.3408</w:t>
            </w:r>
          </w:p>
        </w:tc>
        <w:tc>
          <w:tcPr>
            <w:tcW w:w="0" w:type="auto"/>
            <w:tcBorders>
              <w:top w:val="single" w:sz="6" w:space="0" w:color="auto"/>
            </w:tcBorders>
            <w:tcMar>
              <w:top w:w="150" w:type="dxa"/>
              <w:left w:w="240" w:type="dxa"/>
              <w:bottom w:w="150" w:type="dxa"/>
              <w:right w:w="240" w:type="dxa"/>
            </w:tcMar>
            <w:vAlign w:val="center"/>
            <w:hideMark/>
          </w:tcPr>
          <w:p w14:paraId="613A234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-0.2173</w:t>
            </w:r>
          </w:p>
        </w:tc>
        <w:tc>
          <w:tcPr>
            <w:tcW w:w="0" w:type="auto"/>
            <w:tcBorders>
              <w:top w:val="single" w:sz="6" w:space="0" w:color="auto"/>
            </w:tcBorders>
            <w:tcMar>
              <w:top w:w="150" w:type="dxa"/>
              <w:left w:w="240" w:type="dxa"/>
              <w:bottom w:w="150" w:type="dxa"/>
              <w:right w:w="240" w:type="dxa"/>
            </w:tcMar>
            <w:vAlign w:val="center"/>
            <w:hideMark/>
          </w:tcPr>
          <w:p w14:paraId="0E69770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-1.5581</w:t>
            </w:r>
          </w:p>
        </w:tc>
        <w:tc>
          <w:tcPr>
            <w:tcW w:w="0" w:type="auto"/>
            <w:tcBorders>
              <w:top w:val="single" w:sz="6" w:space="0" w:color="auto"/>
            </w:tcBorders>
            <w:tcMar>
              <w:top w:w="150" w:type="dxa"/>
              <w:left w:w="240" w:type="dxa"/>
              <w:bottom w:w="150" w:type="dxa"/>
              <w:right w:w="240" w:type="dxa"/>
            </w:tcMar>
            <w:vAlign w:val="center"/>
            <w:hideMark/>
          </w:tcPr>
          <w:p w14:paraId="7F08F00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Borders>
              <w:top w:val="single" w:sz="6" w:space="0" w:color="auto"/>
            </w:tcBorders>
            <w:tcMar>
              <w:top w:w="150" w:type="dxa"/>
              <w:left w:w="240" w:type="dxa"/>
              <w:bottom w:w="150" w:type="dxa"/>
              <w:right w:w="0" w:type="dxa"/>
            </w:tcMar>
            <w:vAlign w:val="center"/>
            <w:hideMark/>
          </w:tcPr>
          <w:p w14:paraId="14ED599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t>
            </w:r>
          </w:p>
        </w:tc>
      </w:tr>
      <w:tr w:rsidR="003A7F72" w:rsidRPr="003A7F72" w14:paraId="3822EA9B" w14:textId="77777777" w:rsidTr="003A7F72">
        <w:tc>
          <w:tcPr>
            <w:tcW w:w="0" w:type="auto"/>
            <w:tcMar>
              <w:top w:w="150" w:type="dxa"/>
              <w:left w:w="0" w:type="dxa"/>
              <w:bottom w:w="150" w:type="dxa"/>
              <w:right w:w="240" w:type="dxa"/>
            </w:tcMar>
            <w:vAlign w:val="center"/>
            <w:hideMark/>
          </w:tcPr>
          <w:p w14:paraId="4F5881B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Rainfall</w:t>
            </w:r>
          </w:p>
        </w:tc>
        <w:tc>
          <w:tcPr>
            <w:tcW w:w="0" w:type="auto"/>
            <w:tcMar>
              <w:top w:w="150" w:type="dxa"/>
              <w:left w:w="240" w:type="dxa"/>
              <w:bottom w:w="150" w:type="dxa"/>
              <w:right w:w="240" w:type="dxa"/>
            </w:tcMar>
            <w:vAlign w:val="center"/>
            <w:hideMark/>
          </w:tcPr>
          <w:p w14:paraId="1176418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0.0708</w:t>
            </w:r>
          </w:p>
        </w:tc>
        <w:tc>
          <w:tcPr>
            <w:tcW w:w="0" w:type="auto"/>
            <w:tcMar>
              <w:top w:w="150" w:type="dxa"/>
              <w:left w:w="240" w:type="dxa"/>
              <w:bottom w:w="150" w:type="dxa"/>
              <w:right w:w="240" w:type="dxa"/>
            </w:tcMar>
            <w:vAlign w:val="center"/>
            <w:hideMark/>
          </w:tcPr>
          <w:p w14:paraId="00BD647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0.0156</w:t>
            </w:r>
          </w:p>
        </w:tc>
        <w:tc>
          <w:tcPr>
            <w:tcW w:w="0" w:type="auto"/>
            <w:tcMar>
              <w:top w:w="150" w:type="dxa"/>
              <w:left w:w="240" w:type="dxa"/>
              <w:bottom w:w="150" w:type="dxa"/>
              <w:right w:w="240" w:type="dxa"/>
            </w:tcMar>
            <w:vAlign w:val="center"/>
            <w:hideMark/>
          </w:tcPr>
          <w:p w14:paraId="7CC2E89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0.0864</w:t>
            </w:r>
          </w:p>
        </w:tc>
        <w:tc>
          <w:tcPr>
            <w:tcW w:w="0" w:type="auto"/>
            <w:tcMar>
              <w:top w:w="150" w:type="dxa"/>
              <w:left w:w="240" w:type="dxa"/>
              <w:bottom w:w="150" w:type="dxa"/>
              <w:right w:w="240" w:type="dxa"/>
            </w:tcMar>
            <w:vAlign w:val="center"/>
            <w:hideMark/>
          </w:tcPr>
          <w:p w14:paraId="5C61C2C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Mar>
              <w:top w:w="150" w:type="dxa"/>
              <w:left w:w="240" w:type="dxa"/>
              <w:bottom w:w="150" w:type="dxa"/>
              <w:right w:w="0" w:type="dxa"/>
            </w:tcMar>
            <w:vAlign w:val="center"/>
            <w:hideMark/>
          </w:tcPr>
          <w:p w14:paraId="2D79E3B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t>
            </w:r>
          </w:p>
        </w:tc>
      </w:tr>
      <w:tr w:rsidR="003A7F72" w:rsidRPr="003A7F72" w14:paraId="26581EEF" w14:textId="77777777" w:rsidTr="003A7F72">
        <w:tc>
          <w:tcPr>
            <w:tcW w:w="0" w:type="auto"/>
            <w:tcMar>
              <w:top w:w="150" w:type="dxa"/>
              <w:left w:w="0" w:type="dxa"/>
              <w:bottom w:w="150" w:type="dxa"/>
              <w:right w:w="240" w:type="dxa"/>
            </w:tcMar>
            <w:vAlign w:val="center"/>
            <w:hideMark/>
          </w:tcPr>
          <w:p w14:paraId="2E8F1C7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Population Density</w:t>
            </w:r>
          </w:p>
        </w:tc>
        <w:tc>
          <w:tcPr>
            <w:tcW w:w="0" w:type="auto"/>
            <w:tcMar>
              <w:top w:w="150" w:type="dxa"/>
              <w:left w:w="240" w:type="dxa"/>
              <w:bottom w:w="150" w:type="dxa"/>
              <w:right w:w="240" w:type="dxa"/>
            </w:tcMar>
            <w:vAlign w:val="center"/>
            <w:hideMark/>
          </w:tcPr>
          <w:p w14:paraId="4342F69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-0.1388</w:t>
            </w:r>
          </w:p>
        </w:tc>
        <w:tc>
          <w:tcPr>
            <w:tcW w:w="0" w:type="auto"/>
            <w:tcMar>
              <w:top w:w="150" w:type="dxa"/>
              <w:left w:w="240" w:type="dxa"/>
              <w:bottom w:w="150" w:type="dxa"/>
              <w:right w:w="240" w:type="dxa"/>
            </w:tcMar>
            <w:vAlign w:val="center"/>
            <w:hideMark/>
          </w:tcPr>
          <w:p w14:paraId="7AFBBD8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-0.0215</w:t>
            </w:r>
          </w:p>
        </w:tc>
        <w:tc>
          <w:tcPr>
            <w:tcW w:w="0" w:type="auto"/>
            <w:tcMar>
              <w:top w:w="150" w:type="dxa"/>
              <w:left w:w="240" w:type="dxa"/>
              <w:bottom w:w="150" w:type="dxa"/>
              <w:right w:w="240" w:type="dxa"/>
            </w:tcMar>
            <w:vAlign w:val="center"/>
            <w:hideMark/>
          </w:tcPr>
          <w:p w14:paraId="26A2AB6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-0.1603</w:t>
            </w:r>
          </w:p>
        </w:tc>
        <w:tc>
          <w:tcPr>
            <w:tcW w:w="0" w:type="auto"/>
            <w:tcMar>
              <w:top w:w="150" w:type="dxa"/>
              <w:left w:w="240" w:type="dxa"/>
              <w:bottom w:w="150" w:type="dxa"/>
              <w:right w:w="240" w:type="dxa"/>
            </w:tcMar>
            <w:vAlign w:val="center"/>
            <w:hideMark/>
          </w:tcPr>
          <w:p w14:paraId="499558B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Mar>
              <w:top w:w="150" w:type="dxa"/>
              <w:left w:w="240" w:type="dxa"/>
              <w:bottom w:w="150" w:type="dxa"/>
              <w:right w:w="0" w:type="dxa"/>
            </w:tcMar>
            <w:vAlign w:val="center"/>
            <w:hideMark/>
          </w:tcPr>
          <w:p w14:paraId="0179525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t>
            </w:r>
          </w:p>
        </w:tc>
      </w:tr>
      <w:tr w:rsidR="003A7F72" w:rsidRPr="003A7F72" w14:paraId="50F0C80D" w14:textId="77777777" w:rsidTr="00A51480">
        <w:tc>
          <w:tcPr>
            <w:tcW w:w="0" w:type="auto"/>
            <w:tcMar>
              <w:top w:w="150" w:type="dxa"/>
              <w:left w:w="0" w:type="dxa"/>
              <w:bottom w:w="150" w:type="dxa"/>
              <w:right w:w="240" w:type="dxa"/>
            </w:tcMar>
            <w:vAlign w:val="center"/>
            <w:hideMark/>
          </w:tcPr>
          <w:p w14:paraId="1DA7761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MNDWI</w:t>
            </w:r>
          </w:p>
        </w:tc>
        <w:tc>
          <w:tcPr>
            <w:tcW w:w="0" w:type="auto"/>
            <w:tcMar>
              <w:top w:w="150" w:type="dxa"/>
              <w:left w:w="240" w:type="dxa"/>
              <w:bottom w:w="150" w:type="dxa"/>
              <w:right w:w="240" w:type="dxa"/>
            </w:tcMar>
            <w:vAlign w:val="center"/>
            <w:hideMark/>
          </w:tcPr>
          <w:p w14:paraId="3C6934D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0.0121</w:t>
            </w:r>
          </w:p>
        </w:tc>
        <w:tc>
          <w:tcPr>
            <w:tcW w:w="0" w:type="auto"/>
            <w:tcMar>
              <w:top w:w="150" w:type="dxa"/>
              <w:left w:w="240" w:type="dxa"/>
              <w:bottom w:w="150" w:type="dxa"/>
              <w:right w:w="240" w:type="dxa"/>
            </w:tcMar>
            <w:vAlign w:val="center"/>
            <w:hideMark/>
          </w:tcPr>
          <w:p w14:paraId="2B1D095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0.0032</w:t>
            </w:r>
          </w:p>
        </w:tc>
        <w:tc>
          <w:tcPr>
            <w:tcW w:w="0" w:type="auto"/>
            <w:tcMar>
              <w:top w:w="150" w:type="dxa"/>
              <w:left w:w="240" w:type="dxa"/>
              <w:bottom w:w="150" w:type="dxa"/>
              <w:right w:w="240" w:type="dxa"/>
            </w:tcMar>
            <w:vAlign w:val="center"/>
            <w:hideMark/>
          </w:tcPr>
          <w:p w14:paraId="13FB251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0.0153</w:t>
            </w:r>
          </w:p>
        </w:tc>
        <w:tc>
          <w:tcPr>
            <w:tcW w:w="0" w:type="auto"/>
            <w:tcMar>
              <w:top w:w="150" w:type="dxa"/>
              <w:left w:w="240" w:type="dxa"/>
              <w:bottom w:w="150" w:type="dxa"/>
              <w:right w:w="240" w:type="dxa"/>
            </w:tcMar>
            <w:vAlign w:val="center"/>
            <w:hideMark/>
          </w:tcPr>
          <w:p w14:paraId="24CBCEA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0.112</w:t>
            </w:r>
          </w:p>
        </w:tc>
        <w:tc>
          <w:tcPr>
            <w:tcW w:w="0" w:type="auto"/>
            <w:tcMar>
              <w:top w:w="150" w:type="dxa"/>
              <w:left w:w="240" w:type="dxa"/>
              <w:bottom w:w="150" w:type="dxa"/>
              <w:right w:w="0" w:type="dxa"/>
            </w:tcMar>
            <w:vAlign w:val="center"/>
            <w:hideMark/>
          </w:tcPr>
          <w:p w14:paraId="39C4E0CC" w14:textId="77777777" w:rsidR="003A7F72" w:rsidRPr="003A7F72" w:rsidRDefault="003A7F72" w:rsidP="003A7F72">
            <w:pPr>
              <w:spacing w:after="0" w:line="375" w:lineRule="atLeast"/>
              <w:rPr>
                <w:rFonts w:ascii="Times New Roman" w:eastAsia="Times New Roman" w:hAnsi="Times New Roman" w:cs="Times New Roman"/>
                <w:sz w:val="23"/>
                <w:szCs w:val="23"/>
              </w:rPr>
            </w:pPr>
            <w:proofErr w:type="spellStart"/>
            <w:r w:rsidRPr="003A7F72">
              <w:rPr>
                <w:rFonts w:ascii="Times New Roman" w:eastAsia="Times New Roman" w:hAnsi="Times New Roman" w:cs="Times New Roman"/>
                <w:sz w:val="23"/>
                <w:szCs w:val="23"/>
              </w:rPr>
              <w:t>n.s</w:t>
            </w:r>
            <w:proofErr w:type="spellEnd"/>
            <w:r w:rsidRPr="003A7F72">
              <w:rPr>
                <w:rFonts w:ascii="Times New Roman" w:eastAsia="Times New Roman" w:hAnsi="Times New Roman" w:cs="Times New Roman"/>
                <w:sz w:val="23"/>
                <w:szCs w:val="23"/>
              </w:rPr>
              <w:t>.</w:t>
            </w:r>
          </w:p>
        </w:tc>
      </w:tr>
      <w:tr w:rsidR="003A7F72" w:rsidRPr="003A7F72" w14:paraId="71F78514" w14:textId="77777777" w:rsidTr="00A51480">
        <w:tc>
          <w:tcPr>
            <w:tcW w:w="0" w:type="auto"/>
            <w:tcBorders>
              <w:bottom w:val="single" w:sz="6" w:space="0" w:color="auto"/>
            </w:tcBorders>
            <w:tcMar>
              <w:top w:w="150" w:type="dxa"/>
              <w:left w:w="0" w:type="dxa"/>
              <w:bottom w:w="150" w:type="dxa"/>
              <w:right w:w="240" w:type="dxa"/>
            </w:tcMar>
            <w:vAlign w:val="center"/>
            <w:hideMark/>
          </w:tcPr>
          <w:p w14:paraId="403781A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NTL × NDVI Interaction</w:t>
            </w:r>
          </w:p>
        </w:tc>
        <w:tc>
          <w:tcPr>
            <w:tcW w:w="0" w:type="auto"/>
            <w:tcBorders>
              <w:bottom w:val="single" w:sz="6" w:space="0" w:color="auto"/>
            </w:tcBorders>
            <w:tcMar>
              <w:top w:w="150" w:type="dxa"/>
              <w:left w:w="240" w:type="dxa"/>
              <w:bottom w:w="150" w:type="dxa"/>
              <w:right w:w="240" w:type="dxa"/>
            </w:tcMar>
            <w:vAlign w:val="center"/>
            <w:hideMark/>
          </w:tcPr>
          <w:p w14:paraId="2C76935B"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5.9832</w:t>
            </w:r>
          </w:p>
        </w:tc>
        <w:tc>
          <w:tcPr>
            <w:tcW w:w="0" w:type="auto"/>
            <w:tcBorders>
              <w:bottom w:val="single" w:sz="6" w:space="0" w:color="auto"/>
            </w:tcBorders>
            <w:tcMar>
              <w:top w:w="150" w:type="dxa"/>
              <w:left w:w="240" w:type="dxa"/>
              <w:bottom w:w="150" w:type="dxa"/>
              <w:right w:w="240" w:type="dxa"/>
            </w:tcMar>
            <w:vAlign w:val="center"/>
            <w:hideMark/>
          </w:tcPr>
          <w:p w14:paraId="5BFFC4C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0.7744</w:t>
            </w:r>
          </w:p>
        </w:tc>
        <w:tc>
          <w:tcPr>
            <w:tcW w:w="0" w:type="auto"/>
            <w:tcBorders>
              <w:bottom w:val="single" w:sz="6" w:space="0" w:color="auto"/>
            </w:tcBorders>
            <w:tcMar>
              <w:top w:w="150" w:type="dxa"/>
              <w:left w:w="240" w:type="dxa"/>
              <w:bottom w:w="150" w:type="dxa"/>
              <w:right w:w="240" w:type="dxa"/>
            </w:tcMar>
            <w:vAlign w:val="center"/>
            <w:hideMark/>
          </w:tcPr>
          <w:p w14:paraId="7E2DD5E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6.7576</w:t>
            </w:r>
          </w:p>
        </w:tc>
        <w:tc>
          <w:tcPr>
            <w:tcW w:w="0" w:type="auto"/>
            <w:tcBorders>
              <w:bottom w:val="single" w:sz="6" w:space="0" w:color="auto"/>
            </w:tcBorders>
            <w:tcMar>
              <w:top w:w="150" w:type="dxa"/>
              <w:left w:w="240" w:type="dxa"/>
              <w:bottom w:w="150" w:type="dxa"/>
              <w:right w:w="240" w:type="dxa"/>
            </w:tcMar>
            <w:vAlign w:val="center"/>
            <w:hideMark/>
          </w:tcPr>
          <w:p w14:paraId="3F73A1D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Borders>
              <w:bottom w:val="single" w:sz="6" w:space="0" w:color="auto"/>
            </w:tcBorders>
            <w:tcMar>
              <w:top w:w="150" w:type="dxa"/>
              <w:left w:w="240" w:type="dxa"/>
              <w:bottom w:w="150" w:type="dxa"/>
              <w:right w:w="0" w:type="dxa"/>
            </w:tcMar>
            <w:vAlign w:val="center"/>
            <w:hideMark/>
          </w:tcPr>
          <w:p w14:paraId="52145B1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w:t>
            </w:r>
          </w:p>
        </w:tc>
      </w:tr>
    </w:tbl>
    <w:p w14:paraId="3FB9368B"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 xml:space="preserve">*Note: Significance levels: *** p &lt; 0.001; ** p &lt; 0.01; * p &lt; 0.05; </w:t>
      </w:r>
      <w:proofErr w:type="spellStart"/>
      <w:r w:rsidRPr="003A7F72">
        <w:rPr>
          <w:rFonts w:ascii="Times New Roman" w:eastAsia="Times New Roman" w:hAnsi="Times New Roman" w:cs="Times New Roman"/>
          <w:color w:val="0F1115"/>
          <w:sz w:val="24"/>
          <w:szCs w:val="24"/>
        </w:rPr>
        <w:t>n.s</w:t>
      </w:r>
      <w:proofErr w:type="spellEnd"/>
      <w:r w:rsidRPr="003A7F72">
        <w:rPr>
          <w:rFonts w:ascii="Times New Roman" w:eastAsia="Times New Roman" w:hAnsi="Times New Roman" w:cs="Times New Roman"/>
          <w:color w:val="0F1115"/>
          <w:sz w:val="24"/>
          <w:szCs w:val="24"/>
        </w:rPr>
        <w:t>. = not significant*</w:t>
      </w:r>
    </w:p>
    <w:p w14:paraId="3F6E4A16"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Model Performance</w:t>
      </w:r>
    </w:p>
    <w:tbl>
      <w:tblPr>
        <w:tblW w:w="8724" w:type="dxa"/>
        <w:tblCellMar>
          <w:top w:w="15" w:type="dxa"/>
          <w:left w:w="15" w:type="dxa"/>
          <w:bottom w:w="15" w:type="dxa"/>
          <w:right w:w="15" w:type="dxa"/>
        </w:tblCellMar>
        <w:tblLook w:val="04A0" w:firstRow="1" w:lastRow="0" w:firstColumn="1" w:lastColumn="0" w:noHBand="0" w:noVBand="1"/>
      </w:tblPr>
      <w:tblGrid>
        <w:gridCol w:w="5845"/>
        <w:gridCol w:w="2879"/>
      </w:tblGrid>
      <w:tr w:rsidR="003A7F72" w:rsidRPr="003A7F72" w14:paraId="4EE88332" w14:textId="77777777" w:rsidTr="00A51480">
        <w:trPr>
          <w:trHeight w:val="293"/>
          <w:tblHeader/>
        </w:trPr>
        <w:tc>
          <w:tcPr>
            <w:tcW w:w="0" w:type="auto"/>
            <w:tcBorders>
              <w:top w:val="single" w:sz="6" w:space="0" w:color="auto"/>
              <w:bottom w:val="single" w:sz="6" w:space="0" w:color="auto"/>
            </w:tcBorders>
            <w:tcMar>
              <w:top w:w="150" w:type="dxa"/>
              <w:left w:w="0" w:type="dxa"/>
              <w:bottom w:w="150" w:type="dxa"/>
              <w:right w:w="240" w:type="dxa"/>
            </w:tcMar>
            <w:vAlign w:val="center"/>
            <w:hideMark/>
          </w:tcPr>
          <w:p w14:paraId="051D14C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Metric</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47B391A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Value</w:t>
            </w:r>
          </w:p>
        </w:tc>
      </w:tr>
      <w:tr w:rsidR="003A7F72" w:rsidRPr="003A7F72" w14:paraId="3FDDD803" w14:textId="77777777" w:rsidTr="00A51480">
        <w:trPr>
          <w:trHeight w:val="293"/>
        </w:trPr>
        <w:tc>
          <w:tcPr>
            <w:tcW w:w="0" w:type="auto"/>
            <w:tcBorders>
              <w:top w:val="single" w:sz="6" w:space="0" w:color="auto"/>
            </w:tcBorders>
            <w:tcMar>
              <w:top w:w="150" w:type="dxa"/>
              <w:left w:w="0" w:type="dxa"/>
              <w:bottom w:w="150" w:type="dxa"/>
              <w:right w:w="240" w:type="dxa"/>
            </w:tcMar>
            <w:vAlign w:val="center"/>
            <w:hideMark/>
          </w:tcPr>
          <w:p w14:paraId="48FDFDD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Spatial Autoregressive Coefficient (ρ)</w:t>
            </w:r>
          </w:p>
        </w:tc>
        <w:tc>
          <w:tcPr>
            <w:tcW w:w="0" w:type="auto"/>
            <w:tcBorders>
              <w:top w:val="single" w:sz="6" w:space="0" w:color="auto"/>
            </w:tcBorders>
            <w:tcMar>
              <w:top w:w="150" w:type="dxa"/>
              <w:left w:w="240" w:type="dxa"/>
              <w:bottom w:w="150" w:type="dxa"/>
              <w:right w:w="0" w:type="dxa"/>
            </w:tcMar>
            <w:vAlign w:val="center"/>
            <w:hideMark/>
          </w:tcPr>
          <w:p w14:paraId="52FFF16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0.0466 (p &lt; 0.01)</w:t>
            </w:r>
          </w:p>
        </w:tc>
      </w:tr>
      <w:tr w:rsidR="003A7F72" w:rsidRPr="003A7F72" w14:paraId="1EBCB468" w14:textId="77777777" w:rsidTr="00A51480">
        <w:trPr>
          <w:trHeight w:val="293"/>
        </w:trPr>
        <w:tc>
          <w:tcPr>
            <w:tcW w:w="0" w:type="auto"/>
            <w:tcMar>
              <w:top w:w="150" w:type="dxa"/>
              <w:left w:w="0" w:type="dxa"/>
              <w:bottom w:w="150" w:type="dxa"/>
              <w:right w:w="240" w:type="dxa"/>
            </w:tcMar>
            <w:vAlign w:val="center"/>
            <w:hideMark/>
          </w:tcPr>
          <w:p w14:paraId="3CB4B6C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Pseudo R²</w:t>
            </w:r>
          </w:p>
        </w:tc>
        <w:tc>
          <w:tcPr>
            <w:tcW w:w="0" w:type="auto"/>
            <w:tcMar>
              <w:top w:w="150" w:type="dxa"/>
              <w:left w:w="240" w:type="dxa"/>
              <w:bottom w:w="150" w:type="dxa"/>
              <w:right w:w="0" w:type="dxa"/>
            </w:tcMar>
            <w:vAlign w:val="center"/>
            <w:hideMark/>
          </w:tcPr>
          <w:p w14:paraId="7BD4689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0.8822</w:t>
            </w:r>
          </w:p>
        </w:tc>
      </w:tr>
      <w:tr w:rsidR="003A7F72" w:rsidRPr="003A7F72" w14:paraId="2599A806" w14:textId="77777777" w:rsidTr="00A51480">
        <w:trPr>
          <w:trHeight w:val="293"/>
        </w:trPr>
        <w:tc>
          <w:tcPr>
            <w:tcW w:w="0" w:type="auto"/>
            <w:tcMar>
              <w:top w:w="150" w:type="dxa"/>
              <w:left w:w="0" w:type="dxa"/>
              <w:bottom w:w="150" w:type="dxa"/>
              <w:right w:w="240" w:type="dxa"/>
            </w:tcMar>
            <w:vAlign w:val="center"/>
            <w:hideMark/>
          </w:tcPr>
          <w:p w14:paraId="4861CDE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Spatial Pseudo R²</w:t>
            </w:r>
          </w:p>
        </w:tc>
        <w:tc>
          <w:tcPr>
            <w:tcW w:w="0" w:type="auto"/>
            <w:tcMar>
              <w:top w:w="150" w:type="dxa"/>
              <w:left w:w="240" w:type="dxa"/>
              <w:bottom w:w="150" w:type="dxa"/>
              <w:right w:w="0" w:type="dxa"/>
            </w:tcMar>
            <w:vAlign w:val="center"/>
            <w:hideMark/>
          </w:tcPr>
          <w:p w14:paraId="6B25D64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0.8804</w:t>
            </w:r>
          </w:p>
        </w:tc>
      </w:tr>
      <w:tr w:rsidR="003A7F72" w:rsidRPr="003A7F72" w14:paraId="5C523034" w14:textId="77777777" w:rsidTr="00A51480">
        <w:trPr>
          <w:trHeight w:val="293"/>
        </w:trPr>
        <w:tc>
          <w:tcPr>
            <w:tcW w:w="0" w:type="auto"/>
            <w:tcMar>
              <w:top w:w="150" w:type="dxa"/>
              <w:left w:w="0" w:type="dxa"/>
              <w:bottom w:w="150" w:type="dxa"/>
              <w:right w:w="240" w:type="dxa"/>
            </w:tcMar>
            <w:vAlign w:val="center"/>
            <w:hideMark/>
          </w:tcPr>
          <w:p w14:paraId="12CFC66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Log-Likelihood</w:t>
            </w:r>
          </w:p>
        </w:tc>
        <w:tc>
          <w:tcPr>
            <w:tcW w:w="0" w:type="auto"/>
            <w:tcMar>
              <w:top w:w="150" w:type="dxa"/>
              <w:left w:w="240" w:type="dxa"/>
              <w:bottom w:w="150" w:type="dxa"/>
              <w:right w:w="0" w:type="dxa"/>
            </w:tcMar>
            <w:vAlign w:val="center"/>
            <w:hideMark/>
          </w:tcPr>
          <w:p w14:paraId="47F9FC5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-3,711.83</w:t>
            </w:r>
          </w:p>
        </w:tc>
      </w:tr>
      <w:tr w:rsidR="003A7F72" w:rsidRPr="003A7F72" w14:paraId="5E380DB1" w14:textId="77777777" w:rsidTr="00A51480">
        <w:trPr>
          <w:trHeight w:val="293"/>
        </w:trPr>
        <w:tc>
          <w:tcPr>
            <w:tcW w:w="0" w:type="auto"/>
            <w:tcMar>
              <w:top w:w="150" w:type="dxa"/>
              <w:left w:w="0" w:type="dxa"/>
              <w:bottom w:w="150" w:type="dxa"/>
              <w:right w:w="240" w:type="dxa"/>
            </w:tcMar>
            <w:vAlign w:val="center"/>
            <w:hideMark/>
          </w:tcPr>
          <w:p w14:paraId="5810273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AIC</w:t>
            </w:r>
          </w:p>
        </w:tc>
        <w:tc>
          <w:tcPr>
            <w:tcW w:w="0" w:type="auto"/>
            <w:tcMar>
              <w:top w:w="150" w:type="dxa"/>
              <w:left w:w="240" w:type="dxa"/>
              <w:bottom w:w="150" w:type="dxa"/>
              <w:right w:w="0" w:type="dxa"/>
            </w:tcMar>
            <w:vAlign w:val="center"/>
            <w:hideMark/>
          </w:tcPr>
          <w:p w14:paraId="7EBE1BA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7,439.65</w:t>
            </w:r>
          </w:p>
        </w:tc>
      </w:tr>
      <w:tr w:rsidR="003A7F72" w:rsidRPr="003A7F72" w14:paraId="203D0805" w14:textId="77777777" w:rsidTr="00A51480">
        <w:trPr>
          <w:trHeight w:val="293"/>
        </w:trPr>
        <w:tc>
          <w:tcPr>
            <w:tcW w:w="0" w:type="auto"/>
            <w:tcBorders>
              <w:bottom w:val="single" w:sz="6" w:space="0" w:color="auto"/>
            </w:tcBorders>
            <w:tcMar>
              <w:top w:w="150" w:type="dxa"/>
              <w:left w:w="0" w:type="dxa"/>
              <w:bottom w:w="150" w:type="dxa"/>
              <w:right w:w="240" w:type="dxa"/>
            </w:tcMar>
            <w:vAlign w:val="center"/>
            <w:hideMark/>
          </w:tcPr>
          <w:p w14:paraId="27721D5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Sigma-square ML</w:t>
            </w:r>
          </w:p>
        </w:tc>
        <w:tc>
          <w:tcPr>
            <w:tcW w:w="0" w:type="auto"/>
            <w:tcBorders>
              <w:bottom w:val="single" w:sz="6" w:space="0" w:color="auto"/>
            </w:tcBorders>
            <w:tcMar>
              <w:top w:w="150" w:type="dxa"/>
              <w:left w:w="240" w:type="dxa"/>
              <w:bottom w:w="150" w:type="dxa"/>
              <w:right w:w="0" w:type="dxa"/>
            </w:tcMar>
            <w:vAlign w:val="center"/>
            <w:hideMark/>
          </w:tcPr>
          <w:p w14:paraId="5FDC448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0.9341</w:t>
            </w:r>
          </w:p>
        </w:tc>
      </w:tr>
    </w:tbl>
    <w:p w14:paraId="606964A8" w14:textId="77777777" w:rsidR="00A51480" w:rsidRPr="000D3D51" w:rsidRDefault="003A7F72" w:rsidP="000D3D51">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lastRenderedPageBreak/>
        <w:t>These results confirm strong spatial dependence and highlight the dominant role of the interaction term (NTL × NDVI) in shaping economic outcomes across Tanzania's transport corridors.</w:t>
      </w:r>
    </w:p>
    <w:p w14:paraId="46476DC1"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S4</w:t>
      </w:r>
      <w:bookmarkStart w:id="0" w:name="_GoBack"/>
      <w:bookmarkEnd w:id="0"/>
      <w:r w:rsidRPr="003A7F72">
        <w:rPr>
          <w:rFonts w:ascii="Times New Roman" w:eastAsia="Times New Roman" w:hAnsi="Times New Roman" w:cs="Times New Roman"/>
          <w:b/>
          <w:bCs/>
          <w:color w:val="0F1115"/>
          <w:sz w:val="30"/>
          <w:szCs w:val="30"/>
        </w:rPr>
        <w:t>. GeoAI Model Configuration and Validation</w:t>
      </w:r>
    </w:p>
    <w:p w14:paraId="3D4A4E18" w14:textId="77777777" w:rsidR="003A7F72" w:rsidRPr="003A7F72" w:rsidRDefault="003A7F72" w:rsidP="00A51480">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To capture non-linear relationships not fully explained by the Spatial Durbin Model (SDM), a GeoAI component was implemented using a Random Forest (RF) algorithm applied to the SDM residuals. This residual-based design ensures that the machine learning model isolates unexplained spatial variation after accounting for spatial dependence and spillover effects, thereby preserving the interpretability of the econometric framework while enhancing the detection of localized and non-linear system behavior (</w:t>
      </w:r>
      <w:proofErr w:type="spellStart"/>
      <w:r w:rsidRPr="003A7F72">
        <w:rPr>
          <w:rFonts w:ascii="Times New Roman" w:eastAsia="Times New Roman" w:hAnsi="Times New Roman" w:cs="Times New Roman"/>
          <w:color w:val="0F1115"/>
          <w:sz w:val="24"/>
          <w:szCs w:val="24"/>
        </w:rPr>
        <w:t>Breiman</w:t>
      </w:r>
      <w:proofErr w:type="spellEnd"/>
      <w:r w:rsidRPr="003A7F72">
        <w:rPr>
          <w:rFonts w:ascii="Times New Roman" w:eastAsia="Times New Roman" w:hAnsi="Times New Roman" w:cs="Times New Roman"/>
          <w:color w:val="0F1115"/>
          <w:sz w:val="24"/>
          <w:szCs w:val="24"/>
        </w:rPr>
        <w:t xml:space="preserve">, 2001; Reichstein et al., 2019; Zhang &amp; </w:t>
      </w:r>
      <w:proofErr w:type="spellStart"/>
      <w:r w:rsidRPr="003A7F72">
        <w:rPr>
          <w:rFonts w:ascii="Times New Roman" w:eastAsia="Times New Roman" w:hAnsi="Times New Roman" w:cs="Times New Roman"/>
          <w:color w:val="0F1115"/>
          <w:sz w:val="24"/>
          <w:szCs w:val="24"/>
        </w:rPr>
        <w:t>Anselin</w:t>
      </w:r>
      <w:proofErr w:type="spellEnd"/>
      <w:r w:rsidRPr="003A7F72">
        <w:rPr>
          <w:rFonts w:ascii="Times New Roman" w:eastAsia="Times New Roman" w:hAnsi="Times New Roman" w:cs="Times New Roman"/>
          <w:color w:val="0F1115"/>
          <w:sz w:val="24"/>
          <w:szCs w:val="24"/>
        </w:rPr>
        <w:t>, 2023).</w:t>
      </w:r>
    </w:p>
    <w:p w14:paraId="66A2C569"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Random Forest model was configured with the following hyperparameters, selected through grid search optimization:</w:t>
      </w:r>
    </w:p>
    <w:p w14:paraId="0D7C2D0E"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S3. GeoAI Model Hyperparameters</w:t>
      </w:r>
    </w:p>
    <w:tbl>
      <w:tblPr>
        <w:tblStyle w:val="TableGridLight"/>
        <w:tblW w:w="8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8"/>
        <w:gridCol w:w="766"/>
        <w:gridCol w:w="5442"/>
      </w:tblGrid>
      <w:tr w:rsidR="003A7F72" w:rsidRPr="003A7F72" w14:paraId="2CC96B23" w14:textId="77777777" w:rsidTr="00A51480">
        <w:trPr>
          <w:trHeight w:val="300"/>
        </w:trPr>
        <w:tc>
          <w:tcPr>
            <w:tcW w:w="0" w:type="auto"/>
            <w:tcBorders>
              <w:top w:val="single" w:sz="6" w:space="0" w:color="auto"/>
              <w:bottom w:val="single" w:sz="6" w:space="0" w:color="auto"/>
            </w:tcBorders>
            <w:hideMark/>
          </w:tcPr>
          <w:p w14:paraId="6FD938BE"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Parameter</w:t>
            </w:r>
          </w:p>
        </w:tc>
        <w:tc>
          <w:tcPr>
            <w:tcW w:w="0" w:type="auto"/>
            <w:tcBorders>
              <w:top w:val="single" w:sz="6" w:space="0" w:color="auto"/>
              <w:bottom w:val="single" w:sz="6" w:space="0" w:color="auto"/>
            </w:tcBorders>
            <w:hideMark/>
          </w:tcPr>
          <w:p w14:paraId="7B62B5E0"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Value</w:t>
            </w:r>
          </w:p>
        </w:tc>
        <w:tc>
          <w:tcPr>
            <w:tcW w:w="0" w:type="auto"/>
            <w:tcBorders>
              <w:top w:val="single" w:sz="6" w:space="0" w:color="auto"/>
              <w:bottom w:val="single" w:sz="6" w:space="0" w:color="auto"/>
            </w:tcBorders>
            <w:hideMark/>
          </w:tcPr>
          <w:p w14:paraId="14E83F19"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Justification</w:t>
            </w:r>
          </w:p>
        </w:tc>
      </w:tr>
      <w:tr w:rsidR="003A7F72" w:rsidRPr="003A7F72" w14:paraId="0871FBB8" w14:textId="77777777" w:rsidTr="00A51480">
        <w:trPr>
          <w:trHeight w:val="300"/>
        </w:trPr>
        <w:tc>
          <w:tcPr>
            <w:tcW w:w="0" w:type="auto"/>
            <w:tcBorders>
              <w:top w:val="single" w:sz="6" w:space="0" w:color="auto"/>
            </w:tcBorders>
            <w:hideMark/>
          </w:tcPr>
          <w:p w14:paraId="461FFB60"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Number of trees</w:t>
            </w:r>
          </w:p>
        </w:tc>
        <w:tc>
          <w:tcPr>
            <w:tcW w:w="0" w:type="auto"/>
            <w:tcBorders>
              <w:top w:val="single" w:sz="6" w:space="0" w:color="auto"/>
            </w:tcBorders>
            <w:hideMark/>
          </w:tcPr>
          <w:p w14:paraId="53FB6DA9"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500</w:t>
            </w:r>
          </w:p>
        </w:tc>
        <w:tc>
          <w:tcPr>
            <w:tcW w:w="0" w:type="auto"/>
            <w:tcBorders>
              <w:top w:val="single" w:sz="6" w:space="0" w:color="auto"/>
            </w:tcBorders>
            <w:hideMark/>
          </w:tcPr>
          <w:p w14:paraId="6FAAD9CA"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Balances predictive accuracy with computational efficiency</w:t>
            </w:r>
          </w:p>
        </w:tc>
      </w:tr>
      <w:tr w:rsidR="003A7F72" w:rsidRPr="003A7F72" w14:paraId="74601168" w14:textId="77777777" w:rsidTr="00A51480">
        <w:trPr>
          <w:trHeight w:val="300"/>
        </w:trPr>
        <w:tc>
          <w:tcPr>
            <w:tcW w:w="0" w:type="auto"/>
            <w:hideMark/>
          </w:tcPr>
          <w:p w14:paraId="17D27386"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Maximum depth</w:t>
            </w:r>
          </w:p>
        </w:tc>
        <w:tc>
          <w:tcPr>
            <w:tcW w:w="0" w:type="auto"/>
            <w:hideMark/>
          </w:tcPr>
          <w:p w14:paraId="7FA69F90"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10</w:t>
            </w:r>
          </w:p>
        </w:tc>
        <w:tc>
          <w:tcPr>
            <w:tcW w:w="0" w:type="auto"/>
            <w:hideMark/>
          </w:tcPr>
          <w:p w14:paraId="364446E2"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Prevents overfitting while capturing complex interactions</w:t>
            </w:r>
          </w:p>
        </w:tc>
      </w:tr>
      <w:tr w:rsidR="003A7F72" w:rsidRPr="003A7F72" w14:paraId="0890BC5A" w14:textId="77777777" w:rsidTr="00A51480">
        <w:trPr>
          <w:trHeight w:val="300"/>
        </w:trPr>
        <w:tc>
          <w:tcPr>
            <w:tcW w:w="0" w:type="auto"/>
            <w:hideMark/>
          </w:tcPr>
          <w:p w14:paraId="2488C3A9"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Minimum samples per split</w:t>
            </w:r>
          </w:p>
        </w:tc>
        <w:tc>
          <w:tcPr>
            <w:tcW w:w="0" w:type="auto"/>
            <w:hideMark/>
          </w:tcPr>
          <w:p w14:paraId="2DC6EE0E"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w:t>
            </w:r>
          </w:p>
        </w:tc>
        <w:tc>
          <w:tcPr>
            <w:tcW w:w="0" w:type="auto"/>
            <w:hideMark/>
          </w:tcPr>
          <w:p w14:paraId="43A769C0"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Ensures sufficient data for reliable splits</w:t>
            </w:r>
          </w:p>
        </w:tc>
      </w:tr>
      <w:tr w:rsidR="003A7F72" w:rsidRPr="003A7F72" w14:paraId="0AE10464" w14:textId="77777777" w:rsidTr="00A51480">
        <w:trPr>
          <w:trHeight w:val="300"/>
        </w:trPr>
        <w:tc>
          <w:tcPr>
            <w:tcW w:w="0" w:type="auto"/>
            <w:hideMark/>
          </w:tcPr>
          <w:p w14:paraId="339674C1"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Minimum samples per leaf</w:t>
            </w:r>
          </w:p>
        </w:tc>
        <w:tc>
          <w:tcPr>
            <w:tcW w:w="0" w:type="auto"/>
            <w:hideMark/>
          </w:tcPr>
          <w:p w14:paraId="2E09E276"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w:t>
            </w:r>
          </w:p>
        </w:tc>
        <w:tc>
          <w:tcPr>
            <w:tcW w:w="0" w:type="auto"/>
            <w:hideMark/>
          </w:tcPr>
          <w:p w14:paraId="4C41943F"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Maximizes model flexibility</w:t>
            </w:r>
          </w:p>
        </w:tc>
      </w:tr>
      <w:tr w:rsidR="003A7F72" w:rsidRPr="003A7F72" w14:paraId="208CF180" w14:textId="77777777" w:rsidTr="00A51480">
        <w:trPr>
          <w:trHeight w:val="300"/>
        </w:trPr>
        <w:tc>
          <w:tcPr>
            <w:tcW w:w="0" w:type="auto"/>
            <w:tcBorders>
              <w:bottom w:val="single" w:sz="6" w:space="0" w:color="auto"/>
            </w:tcBorders>
            <w:hideMark/>
          </w:tcPr>
          <w:p w14:paraId="75721916"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Feature selection</w:t>
            </w:r>
          </w:p>
        </w:tc>
        <w:tc>
          <w:tcPr>
            <w:tcW w:w="0" w:type="auto"/>
            <w:tcBorders>
              <w:bottom w:val="single" w:sz="6" w:space="0" w:color="auto"/>
            </w:tcBorders>
            <w:hideMark/>
          </w:tcPr>
          <w:p w14:paraId="35395A01"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sqrt</w:t>
            </w:r>
          </w:p>
        </w:tc>
        <w:tc>
          <w:tcPr>
            <w:tcW w:w="0" w:type="auto"/>
            <w:tcBorders>
              <w:bottom w:val="single" w:sz="6" w:space="0" w:color="auto"/>
            </w:tcBorders>
            <w:hideMark/>
          </w:tcPr>
          <w:p w14:paraId="743E9953" w14:textId="77777777" w:rsidR="003A7F72" w:rsidRPr="003A7F72" w:rsidRDefault="003A7F72" w:rsidP="003A7F72">
            <w:pPr>
              <w:spacing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Standard random forest approach</w:t>
            </w:r>
          </w:p>
        </w:tc>
      </w:tr>
    </w:tbl>
    <w:p w14:paraId="5A198826"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A 70/30 train-test split was used to evaluate model performance and ensure generalization across the 2,680-unit hexagonal grid. Spatial cross-validation was implemented to prevent spatial leakage between training and test sets (Roberts et al., 2017).</w:t>
      </w:r>
    </w:p>
    <w:p w14:paraId="2089130A" w14:textId="77777777" w:rsidR="003A7F72" w:rsidRPr="003A7F72" w:rsidRDefault="003A7F72" w:rsidP="00A51480">
      <w:pPr>
        <w:shd w:val="clear" w:color="auto" w:fill="FFFFFF"/>
        <w:spacing w:before="240" w:after="240" w:line="240" w:lineRule="auto"/>
        <w:jc w:val="center"/>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S4. GeoAI Model Performance Metrics</w:t>
      </w:r>
    </w:p>
    <w:tbl>
      <w:tblPr>
        <w:tblW w:w="9640" w:type="dxa"/>
        <w:tblCellMar>
          <w:top w:w="15" w:type="dxa"/>
          <w:left w:w="15" w:type="dxa"/>
          <w:bottom w:w="15" w:type="dxa"/>
          <w:right w:w="15" w:type="dxa"/>
        </w:tblCellMar>
        <w:tblLook w:val="04A0" w:firstRow="1" w:lastRow="0" w:firstColumn="1" w:lastColumn="0" w:noHBand="0" w:noVBand="1"/>
      </w:tblPr>
      <w:tblGrid>
        <w:gridCol w:w="1796"/>
        <w:gridCol w:w="1449"/>
        <w:gridCol w:w="6395"/>
      </w:tblGrid>
      <w:tr w:rsidR="003A7F72" w:rsidRPr="003A7F72" w14:paraId="628B1B16" w14:textId="77777777" w:rsidTr="00973936">
        <w:trPr>
          <w:trHeight w:val="365"/>
          <w:tblHeader/>
        </w:trPr>
        <w:tc>
          <w:tcPr>
            <w:tcW w:w="0" w:type="auto"/>
            <w:tcBorders>
              <w:top w:val="single" w:sz="6" w:space="0" w:color="auto"/>
              <w:bottom w:val="single" w:sz="6" w:space="0" w:color="auto"/>
            </w:tcBorders>
            <w:tcMar>
              <w:top w:w="150" w:type="dxa"/>
              <w:left w:w="0" w:type="dxa"/>
              <w:bottom w:w="150" w:type="dxa"/>
              <w:right w:w="240" w:type="dxa"/>
            </w:tcMar>
            <w:vAlign w:val="center"/>
            <w:hideMark/>
          </w:tcPr>
          <w:p w14:paraId="45AC3C6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Metric</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7B96FA9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Value</w:t>
            </w:r>
          </w:p>
        </w:tc>
        <w:tc>
          <w:tcPr>
            <w:tcW w:w="0" w:type="auto"/>
            <w:tcBorders>
              <w:top w:val="single" w:sz="6" w:space="0" w:color="auto"/>
              <w:bottom w:val="single" w:sz="6" w:space="0" w:color="auto"/>
            </w:tcBorders>
            <w:tcMar>
              <w:top w:w="150" w:type="dxa"/>
              <w:left w:w="240" w:type="dxa"/>
              <w:bottom w:w="150" w:type="dxa"/>
              <w:right w:w="240" w:type="dxa"/>
            </w:tcMar>
            <w:vAlign w:val="center"/>
            <w:hideMark/>
          </w:tcPr>
          <w:p w14:paraId="6A192AC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Interpretation</w:t>
            </w:r>
          </w:p>
        </w:tc>
      </w:tr>
      <w:tr w:rsidR="003A7F72" w:rsidRPr="003A7F72" w14:paraId="07C92BDB" w14:textId="77777777" w:rsidTr="00973936">
        <w:trPr>
          <w:trHeight w:val="365"/>
        </w:trPr>
        <w:tc>
          <w:tcPr>
            <w:tcW w:w="0" w:type="auto"/>
            <w:tcBorders>
              <w:top w:val="single" w:sz="6" w:space="0" w:color="auto"/>
            </w:tcBorders>
            <w:tcMar>
              <w:top w:w="150" w:type="dxa"/>
              <w:left w:w="0" w:type="dxa"/>
              <w:bottom w:w="150" w:type="dxa"/>
              <w:right w:w="240" w:type="dxa"/>
            </w:tcMar>
            <w:vAlign w:val="center"/>
            <w:hideMark/>
          </w:tcPr>
          <w:p w14:paraId="0D9B126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RMSE</w:t>
            </w:r>
          </w:p>
        </w:tc>
        <w:tc>
          <w:tcPr>
            <w:tcW w:w="0" w:type="auto"/>
            <w:tcBorders>
              <w:top w:val="single" w:sz="6" w:space="0" w:color="auto"/>
            </w:tcBorders>
            <w:tcMar>
              <w:top w:w="150" w:type="dxa"/>
              <w:left w:w="240" w:type="dxa"/>
              <w:bottom w:w="150" w:type="dxa"/>
              <w:right w:w="240" w:type="dxa"/>
            </w:tcMar>
            <w:vAlign w:val="center"/>
            <w:hideMark/>
          </w:tcPr>
          <w:p w14:paraId="111ECDF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0.042</w:t>
            </w:r>
          </w:p>
        </w:tc>
        <w:tc>
          <w:tcPr>
            <w:tcW w:w="0" w:type="auto"/>
            <w:tcBorders>
              <w:top w:val="single" w:sz="6" w:space="0" w:color="auto"/>
            </w:tcBorders>
            <w:tcMar>
              <w:top w:w="150" w:type="dxa"/>
              <w:left w:w="240" w:type="dxa"/>
              <w:bottom w:w="150" w:type="dxa"/>
              <w:right w:w="0" w:type="dxa"/>
            </w:tcMar>
            <w:vAlign w:val="center"/>
            <w:hideMark/>
          </w:tcPr>
          <w:p w14:paraId="65D06BE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Low prediction error (standardized conditions)</w:t>
            </w:r>
          </w:p>
        </w:tc>
      </w:tr>
      <w:tr w:rsidR="003A7F72" w:rsidRPr="003A7F72" w14:paraId="21E3CE82" w14:textId="77777777" w:rsidTr="00973936">
        <w:trPr>
          <w:trHeight w:val="365"/>
        </w:trPr>
        <w:tc>
          <w:tcPr>
            <w:tcW w:w="0" w:type="auto"/>
            <w:tcMar>
              <w:top w:w="150" w:type="dxa"/>
              <w:left w:w="0" w:type="dxa"/>
              <w:bottom w:w="150" w:type="dxa"/>
              <w:right w:w="240" w:type="dxa"/>
            </w:tcMar>
            <w:vAlign w:val="center"/>
            <w:hideMark/>
          </w:tcPr>
          <w:p w14:paraId="4BA4325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lastRenderedPageBreak/>
              <w:t>R²</w:t>
            </w:r>
          </w:p>
        </w:tc>
        <w:tc>
          <w:tcPr>
            <w:tcW w:w="0" w:type="auto"/>
            <w:tcMar>
              <w:top w:w="150" w:type="dxa"/>
              <w:left w:w="240" w:type="dxa"/>
              <w:bottom w:w="150" w:type="dxa"/>
              <w:right w:w="240" w:type="dxa"/>
            </w:tcMar>
            <w:vAlign w:val="center"/>
            <w:hideMark/>
          </w:tcPr>
          <w:p w14:paraId="752C463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0.87</w:t>
            </w:r>
          </w:p>
        </w:tc>
        <w:tc>
          <w:tcPr>
            <w:tcW w:w="0" w:type="auto"/>
            <w:tcMar>
              <w:top w:w="150" w:type="dxa"/>
              <w:left w:w="240" w:type="dxa"/>
              <w:bottom w:w="150" w:type="dxa"/>
              <w:right w:w="0" w:type="dxa"/>
            </w:tcMar>
            <w:vAlign w:val="center"/>
            <w:hideMark/>
          </w:tcPr>
          <w:p w14:paraId="3E8F7E0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High explanatory power</w:t>
            </w:r>
          </w:p>
        </w:tc>
      </w:tr>
      <w:tr w:rsidR="003A7F72" w:rsidRPr="003A7F72" w14:paraId="2BB7ED75" w14:textId="77777777" w:rsidTr="00973936">
        <w:trPr>
          <w:trHeight w:val="365"/>
        </w:trPr>
        <w:tc>
          <w:tcPr>
            <w:tcW w:w="0" w:type="auto"/>
            <w:tcBorders>
              <w:bottom w:val="single" w:sz="6" w:space="0" w:color="auto"/>
            </w:tcBorders>
            <w:tcMar>
              <w:top w:w="150" w:type="dxa"/>
              <w:left w:w="0" w:type="dxa"/>
              <w:bottom w:w="150" w:type="dxa"/>
              <w:right w:w="240" w:type="dxa"/>
            </w:tcMar>
            <w:vAlign w:val="center"/>
            <w:hideMark/>
          </w:tcPr>
          <w:p w14:paraId="3B76088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ROC-AUC</w:t>
            </w:r>
          </w:p>
        </w:tc>
        <w:tc>
          <w:tcPr>
            <w:tcW w:w="0" w:type="auto"/>
            <w:tcBorders>
              <w:bottom w:val="single" w:sz="6" w:space="0" w:color="auto"/>
            </w:tcBorders>
            <w:tcMar>
              <w:top w:w="150" w:type="dxa"/>
              <w:left w:w="240" w:type="dxa"/>
              <w:bottom w:w="150" w:type="dxa"/>
              <w:right w:w="240" w:type="dxa"/>
            </w:tcMar>
            <w:vAlign w:val="center"/>
            <w:hideMark/>
          </w:tcPr>
          <w:p w14:paraId="3A31D87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0.91</w:t>
            </w:r>
          </w:p>
        </w:tc>
        <w:tc>
          <w:tcPr>
            <w:tcW w:w="0" w:type="auto"/>
            <w:tcBorders>
              <w:bottom w:val="single" w:sz="6" w:space="0" w:color="auto"/>
            </w:tcBorders>
            <w:tcMar>
              <w:top w:w="150" w:type="dxa"/>
              <w:left w:w="240" w:type="dxa"/>
              <w:bottom w:w="150" w:type="dxa"/>
              <w:right w:w="0" w:type="dxa"/>
            </w:tcMar>
            <w:vAlign w:val="center"/>
            <w:hideMark/>
          </w:tcPr>
          <w:p w14:paraId="254A3AA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Excellent discriminative performance</w:t>
            </w:r>
          </w:p>
        </w:tc>
      </w:tr>
    </w:tbl>
    <w:p w14:paraId="4A1D7978"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RMSE value of 0.042 indicates low prediction error under standardized conditions, confirming that the model accurately captures residual spatial variation. The coefficient of determination (R² = 0.87) demonstrates that the integrated framework explains a substantial proportion of variability in the data.</w:t>
      </w:r>
    </w:p>
    <w:p w14:paraId="67C9D3DF"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To assess threshold-based system behavior, a classification task was defined using the ecological condition (NDVI ≤ -0.8σ), distinguishing between stable and vulnerable zones. The resulting ROC-AUC value of 0.91 indicates strong discriminative performance, confirming that the model effectively identifies regions approaching the critical ecological threshold.</w:t>
      </w:r>
    </w:p>
    <w:p w14:paraId="44D205B3"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Overall, this validation demonstrates that the GeoAI component complements the SDM by capturing non-linear interactions and threshold effects while maintaining consistency with the underlying spatial econometric structure.</w:t>
      </w:r>
    </w:p>
    <w:p w14:paraId="48318F40"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S5. SHAP-Based Interpretability Analysis</w:t>
      </w:r>
    </w:p>
    <w:p w14:paraId="30516151"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proofErr w:type="spellStart"/>
      <w:r w:rsidRPr="003A7F72">
        <w:rPr>
          <w:rFonts w:ascii="Times New Roman" w:eastAsia="Times New Roman" w:hAnsi="Times New Roman" w:cs="Times New Roman"/>
          <w:color w:val="0F1115"/>
          <w:sz w:val="24"/>
          <w:szCs w:val="24"/>
        </w:rPr>
        <w:t>SHapley</w:t>
      </w:r>
      <w:proofErr w:type="spellEnd"/>
      <w:r w:rsidRPr="003A7F72">
        <w:rPr>
          <w:rFonts w:ascii="Times New Roman" w:eastAsia="Times New Roman" w:hAnsi="Times New Roman" w:cs="Times New Roman"/>
          <w:color w:val="0F1115"/>
          <w:sz w:val="24"/>
          <w:szCs w:val="24"/>
        </w:rPr>
        <w:t xml:space="preserve"> Additive </w:t>
      </w:r>
      <w:proofErr w:type="spellStart"/>
      <w:r w:rsidRPr="003A7F72">
        <w:rPr>
          <w:rFonts w:ascii="Times New Roman" w:eastAsia="Times New Roman" w:hAnsi="Times New Roman" w:cs="Times New Roman"/>
          <w:color w:val="0F1115"/>
          <w:sz w:val="24"/>
          <w:szCs w:val="24"/>
        </w:rPr>
        <w:t>exPlanations</w:t>
      </w:r>
      <w:proofErr w:type="spellEnd"/>
      <w:r w:rsidRPr="003A7F72">
        <w:rPr>
          <w:rFonts w:ascii="Times New Roman" w:eastAsia="Times New Roman" w:hAnsi="Times New Roman" w:cs="Times New Roman"/>
          <w:color w:val="0F1115"/>
          <w:sz w:val="24"/>
          <w:szCs w:val="24"/>
        </w:rPr>
        <w:t xml:space="preserve"> (SHAP) were used to quantify the contribution of each variable to model predictions, providing model-agnostic interpretability (Lundberg &amp; Lee, 2017; Molnar, 2022). SHAP values decompose model predictions into additive contributions from each feature, enabling transparent interpretation of the GeoAI component.</w:t>
      </w:r>
    </w:p>
    <w:p w14:paraId="3D0F3CD0"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Global Feature Importance:</w:t>
      </w:r>
    </w:p>
    <w:p w14:paraId="0C9CCFFB"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SHAP analysis revealed that NDVI and the interaction term (NTL × NDVI) are the most influential variables, confirming the importance of environmental conditions in moderating infrastructure performance. Variable importance ranking (based on mean absolute SHAP values):</w:t>
      </w:r>
    </w:p>
    <w:p w14:paraId="76E3908B" w14:textId="77777777" w:rsidR="003A7F72" w:rsidRPr="003A7F72" w:rsidRDefault="003A7F72" w:rsidP="00973936">
      <w:pPr>
        <w:numPr>
          <w:ilvl w:val="0"/>
          <w:numId w:val="2"/>
        </w:numPr>
        <w:shd w:val="clear" w:color="auto" w:fill="FFFFFF"/>
        <w:spacing w:before="100" w:beforeAutospacing="1" w:after="0" w:line="276" w:lineRule="auto"/>
        <w:ind w:left="0"/>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NTL × NDVI Interaction — 34.2%</w:t>
      </w:r>
    </w:p>
    <w:p w14:paraId="132D25D3" w14:textId="77777777" w:rsidR="003A7F72" w:rsidRPr="003A7F72" w:rsidRDefault="003A7F72" w:rsidP="00973936">
      <w:pPr>
        <w:numPr>
          <w:ilvl w:val="0"/>
          <w:numId w:val="2"/>
        </w:numPr>
        <w:shd w:val="clear" w:color="auto" w:fill="FFFFFF"/>
        <w:spacing w:before="100" w:beforeAutospacing="1" w:after="0" w:line="276" w:lineRule="auto"/>
        <w:ind w:left="0"/>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NDVI — 28.7%</w:t>
      </w:r>
    </w:p>
    <w:p w14:paraId="4610D6E9" w14:textId="77777777" w:rsidR="003A7F72" w:rsidRPr="003A7F72" w:rsidRDefault="003A7F72" w:rsidP="00973936">
      <w:pPr>
        <w:numPr>
          <w:ilvl w:val="0"/>
          <w:numId w:val="2"/>
        </w:numPr>
        <w:shd w:val="clear" w:color="auto" w:fill="FFFFFF"/>
        <w:spacing w:before="100" w:beforeAutospacing="1" w:after="0" w:line="276" w:lineRule="auto"/>
        <w:ind w:left="0"/>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Rainfall — 15.1%</w:t>
      </w:r>
    </w:p>
    <w:p w14:paraId="0F117885" w14:textId="77777777" w:rsidR="003A7F72" w:rsidRPr="003A7F72" w:rsidRDefault="003A7F72" w:rsidP="00973936">
      <w:pPr>
        <w:numPr>
          <w:ilvl w:val="0"/>
          <w:numId w:val="2"/>
        </w:numPr>
        <w:shd w:val="clear" w:color="auto" w:fill="FFFFFF"/>
        <w:spacing w:before="100" w:beforeAutospacing="1" w:after="0" w:line="276" w:lineRule="auto"/>
        <w:ind w:left="0"/>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Population Density — 12.8%</w:t>
      </w:r>
    </w:p>
    <w:p w14:paraId="2C4951EC" w14:textId="77777777" w:rsidR="003A7F72" w:rsidRPr="003A7F72" w:rsidRDefault="003A7F72" w:rsidP="00973936">
      <w:pPr>
        <w:numPr>
          <w:ilvl w:val="0"/>
          <w:numId w:val="2"/>
        </w:numPr>
        <w:shd w:val="clear" w:color="auto" w:fill="FFFFFF"/>
        <w:spacing w:before="100" w:beforeAutospacing="1" w:after="0" w:line="276" w:lineRule="auto"/>
        <w:ind w:left="0"/>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MNDWI — 9.2%</w:t>
      </w:r>
    </w:p>
    <w:p w14:paraId="13D888C7"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Threshold Detection:</w:t>
      </w:r>
    </w:p>
    <w:p w14:paraId="7503FD0D"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lastRenderedPageBreak/>
        <w:t>SHAP dependence plots reveal a non-linear transition in system behavior, with a critical threshold occurring at approximately NDVI ≤ -0.8 standard deviations. Below this threshold, the marginal contribution of infrastructure declines significantly, indicating reduced system efficiency and weakened spillover transmission.</w:t>
      </w:r>
    </w:p>
    <w:p w14:paraId="350FD5DB"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Figure S2</w:t>
      </w:r>
      <w:r w:rsidRPr="003A7F72">
        <w:rPr>
          <w:rFonts w:ascii="Times New Roman" w:eastAsia="Times New Roman" w:hAnsi="Times New Roman" w:cs="Times New Roman"/>
          <w:color w:val="0F1115"/>
          <w:sz w:val="24"/>
          <w:szCs w:val="24"/>
        </w:rPr>
        <w:t> presents the SHAP summary plot, which visualizes global feature importance and the direction of each variable's influence on model predictions.</w:t>
      </w:r>
    </w:p>
    <w:p w14:paraId="3B8C0F65"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S6. Threshold Detection and Sensitivity Analysis</w:t>
      </w:r>
    </w:p>
    <w:p w14:paraId="0737718F"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Threshold identification was conducted using a multi-method approach combining:</w:t>
      </w:r>
    </w:p>
    <w:p w14:paraId="750C2295" w14:textId="77777777" w:rsidR="003A7F72" w:rsidRPr="003A7F72" w:rsidRDefault="003A7F72" w:rsidP="003A7F72">
      <w:pPr>
        <w:numPr>
          <w:ilvl w:val="0"/>
          <w:numId w:val="3"/>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SHAP marginal effects analysis — identifying inflection points in the NDVI-response relationship</w:t>
      </w:r>
    </w:p>
    <w:p w14:paraId="6D97B1B3" w14:textId="77777777" w:rsidR="003A7F72" w:rsidRPr="003A7F72" w:rsidRDefault="003A7F72" w:rsidP="003A7F72">
      <w:pPr>
        <w:numPr>
          <w:ilvl w:val="0"/>
          <w:numId w:val="3"/>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Statistical distribution analysis — examining the distribution of NDVI across stable vs. vulnerable zones</w:t>
      </w:r>
    </w:p>
    <w:p w14:paraId="6F891EBA" w14:textId="77777777" w:rsidR="003A7F72" w:rsidRPr="003A7F72" w:rsidRDefault="003A7F72" w:rsidP="003A7F72">
      <w:pPr>
        <w:numPr>
          <w:ilvl w:val="0"/>
          <w:numId w:val="3"/>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Segmented regression — identifying structural breaks in the infrastructure-environment relationship</w:t>
      </w:r>
    </w:p>
    <w:p w14:paraId="7A6CCBC3"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Identified Threshold:</w:t>
      </w:r>
    </w:p>
    <w:p w14:paraId="3AD20455"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analysis consistently identified NDVI ≤ -0.8σ as the critical ecological threshold. This threshold marks a structural transition point at which environmental degradation begins to disrupt the functional relationship between infrastructure connectivity and regional economic productivity.</w:t>
      </w:r>
    </w:p>
    <w:p w14:paraId="25FCFA89"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Sensitivity Analysis:</w:t>
      </w:r>
    </w:p>
    <w:p w14:paraId="75242272" w14:textId="77777777" w:rsidR="003A7F72" w:rsidRPr="003A7F72"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Threshold robustness was tested across alternative model specifications and temporal subsets:</w:t>
      </w:r>
    </w:p>
    <w:p w14:paraId="064A76F7" w14:textId="77777777" w:rsidR="003A7F72" w:rsidRPr="003A7F72" w:rsidRDefault="003A7F72" w:rsidP="00A51480">
      <w:pPr>
        <w:shd w:val="clear" w:color="auto" w:fill="FFFFFF"/>
        <w:spacing w:before="240" w:after="240" w:line="240" w:lineRule="auto"/>
        <w:jc w:val="center"/>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S5. Threshold Sensitivity Analysis</w:t>
      </w:r>
    </w:p>
    <w:tbl>
      <w:tblPr>
        <w:tblW w:w="9282" w:type="dxa"/>
        <w:tblCellMar>
          <w:top w:w="15" w:type="dxa"/>
          <w:left w:w="15" w:type="dxa"/>
          <w:bottom w:w="15" w:type="dxa"/>
          <w:right w:w="15" w:type="dxa"/>
        </w:tblCellMar>
        <w:tblLook w:val="04A0" w:firstRow="1" w:lastRow="0" w:firstColumn="1" w:lastColumn="0" w:noHBand="0" w:noVBand="1"/>
      </w:tblPr>
      <w:tblGrid>
        <w:gridCol w:w="3992"/>
        <w:gridCol w:w="3459"/>
        <w:gridCol w:w="1831"/>
      </w:tblGrid>
      <w:tr w:rsidR="003A7F72" w:rsidRPr="003A7F72" w14:paraId="55A0C30E" w14:textId="77777777" w:rsidTr="00A51480">
        <w:trPr>
          <w:trHeight w:val="263"/>
          <w:tblHeader/>
        </w:trPr>
        <w:tc>
          <w:tcPr>
            <w:tcW w:w="0" w:type="auto"/>
            <w:tcBorders>
              <w:top w:val="single" w:sz="12" w:space="0" w:color="auto"/>
              <w:bottom w:val="single" w:sz="6" w:space="0" w:color="auto"/>
            </w:tcBorders>
            <w:tcMar>
              <w:top w:w="150" w:type="dxa"/>
              <w:left w:w="0" w:type="dxa"/>
              <w:bottom w:w="150" w:type="dxa"/>
              <w:right w:w="240" w:type="dxa"/>
            </w:tcMar>
            <w:vAlign w:val="center"/>
            <w:hideMark/>
          </w:tcPr>
          <w:p w14:paraId="71C2857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Specification</w:t>
            </w:r>
          </w:p>
        </w:tc>
        <w:tc>
          <w:tcPr>
            <w:tcW w:w="0" w:type="auto"/>
            <w:tcBorders>
              <w:top w:val="single" w:sz="12" w:space="0" w:color="auto"/>
              <w:bottom w:val="single" w:sz="6" w:space="0" w:color="auto"/>
            </w:tcBorders>
            <w:tcMar>
              <w:top w:w="150" w:type="dxa"/>
              <w:left w:w="240" w:type="dxa"/>
              <w:bottom w:w="150" w:type="dxa"/>
              <w:right w:w="240" w:type="dxa"/>
            </w:tcMar>
            <w:vAlign w:val="center"/>
            <w:hideMark/>
          </w:tcPr>
          <w:p w14:paraId="4E873F1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Threshold (NDVI σ)</w:t>
            </w:r>
          </w:p>
        </w:tc>
        <w:tc>
          <w:tcPr>
            <w:tcW w:w="0" w:type="auto"/>
            <w:tcBorders>
              <w:top w:val="single" w:sz="12" w:space="0" w:color="auto"/>
              <w:bottom w:val="single" w:sz="6" w:space="0" w:color="auto"/>
            </w:tcBorders>
            <w:tcMar>
              <w:top w:w="150" w:type="dxa"/>
              <w:left w:w="240" w:type="dxa"/>
              <w:bottom w:w="150" w:type="dxa"/>
              <w:right w:w="240" w:type="dxa"/>
            </w:tcMar>
            <w:vAlign w:val="center"/>
            <w:hideMark/>
          </w:tcPr>
          <w:p w14:paraId="358BF77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Stability</w:t>
            </w:r>
          </w:p>
        </w:tc>
      </w:tr>
      <w:tr w:rsidR="003A7F72" w:rsidRPr="003A7F72" w14:paraId="3F95EBE7" w14:textId="77777777" w:rsidTr="00A51480">
        <w:trPr>
          <w:trHeight w:val="263"/>
        </w:trPr>
        <w:tc>
          <w:tcPr>
            <w:tcW w:w="0" w:type="auto"/>
            <w:tcBorders>
              <w:top w:val="single" w:sz="6" w:space="0" w:color="auto"/>
            </w:tcBorders>
            <w:tcMar>
              <w:top w:w="150" w:type="dxa"/>
              <w:left w:w="0" w:type="dxa"/>
              <w:bottom w:w="150" w:type="dxa"/>
              <w:right w:w="240" w:type="dxa"/>
            </w:tcMar>
            <w:vAlign w:val="center"/>
            <w:hideMark/>
          </w:tcPr>
          <w:p w14:paraId="1367C67B"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Baseline (k=8, full sample)</w:t>
            </w:r>
          </w:p>
        </w:tc>
        <w:tc>
          <w:tcPr>
            <w:tcW w:w="0" w:type="auto"/>
            <w:tcBorders>
              <w:top w:val="single" w:sz="6" w:space="0" w:color="auto"/>
            </w:tcBorders>
            <w:tcMar>
              <w:top w:w="150" w:type="dxa"/>
              <w:left w:w="240" w:type="dxa"/>
              <w:bottom w:w="150" w:type="dxa"/>
              <w:right w:w="240" w:type="dxa"/>
            </w:tcMar>
            <w:vAlign w:val="center"/>
            <w:hideMark/>
          </w:tcPr>
          <w:p w14:paraId="0F3620B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-0.80</w:t>
            </w:r>
          </w:p>
        </w:tc>
        <w:tc>
          <w:tcPr>
            <w:tcW w:w="0" w:type="auto"/>
            <w:tcBorders>
              <w:top w:val="single" w:sz="6" w:space="0" w:color="auto"/>
            </w:tcBorders>
            <w:tcMar>
              <w:top w:w="150" w:type="dxa"/>
              <w:left w:w="240" w:type="dxa"/>
              <w:bottom w:w="150" w:type="dxa"/>
              <w:right w:w="0" w:type="dxa"/>
            </w:tcMar>
            <w:vAlign w:val="center"/>
            <w:hideMark/>
          </w:tcPr>
          <w:p w14:paraId="2A9209F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Reference</w:t>
            </w:r>
          </w:p>
        </w:tc>
      </w:tr>
      <w:tr w:rsidR="003A7F72" w:rsidRPr="003A7F72" w14:paraId="6772CE75" w14:textId="77777777" w:rsidTr="00A51480">
        <w:trPr>
          <w:trHeight w:val="263"/>
        </w:trPr>
        <w:tc>
          <w:tcPr>
            <w:tcW w:w="0" w:type="auto"/>
            <w:tcMar>
              <w:top w:w="150" w:type="dxa"/>
              <w:left w:w="0" w:type="dxa"/>
              <w:bottom w:w="150" w:type="dxa"/>
              <w:right w:w="240" w:type="dxa"/>
            </w:tcMar>
            <w:vAlign w:val="center"/>
            <w:hideMark/>
          </w:tcPr>
          <w:p w14:paraId="7587D13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k=6 spatial weights</w:t>
            </w:r>
          </w:p>
        </w:tc>
        <w:tc>
          <w:tcPr>
            <w:tcW w:w="0" w:type="auto"/>
            <w:tcMar>
              <w:top w:w="150" w:type="dxa"/>
              <w:left w:w="240" w:type="dxa"/>
              <w:bottom w:w="150" w:type="dxa"/>
              <w:right w:w="240" w:type="dxa"/>
            </w:tcMar>
            <w:vAlign w:val="center"/>
            <w:hideMark/>
          </w:tcPr>
          <w:p w14:paraId="7671EBB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-0.79</w:t>
            </w:r>
          </w:p>
        </w:tc>
        <w:tc>
          <w:tcPr>
            <w:tcW w:w="0" w:type="auto"/>
            <w:tcMar>
              <w:top w:w="150" w:type="dxa"/>
              <w:left w:w="240" w:type="dxa"/>
              <w:bottom w:w="150" w:type="dxa"/>
              <w:right w:w="0" w:type="dxa"/>
            </w:tcMar>
            <w:vAlign w:val="center"/>
            <w:hideMark/>
          </w:tcPr>
          <w:p w14:paraId="0B6CC94A"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Stable</w:t>
            </w:r>
          </w:p>
        </w:tc>
      </w:tr>
      <w:tr w:rsidR="003A7F72" w:rsidRPr="003A7F72" w14:paraId="30738461" w14:textId="77777777" w:rsidTr="00A51480">
        <w:trPr>
          <w:trHeight w:val="263"/>
        </w:trPr>
        <w:tc>
          <w:tcPr>
            <w:tcW w:w="0" w:type="auto"/>
            <w:tcMar>
              <w:top w:w="150" w:type="dxa"/>
              <w:left w:w="0" w:type="dxa"/>
              <w:bottom w:w="150" w:type="dxa"/>
              <w:right w:w="240" w:type="dxa"/>
            </w:tcMar>
            <w:vAlign w:val="center"/>
            <w:hideMark/>
          </w:tcPr>
          <w:p w14:paraId="3A674FA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k=10 spatial weights</w:t>
            </w:r>
          </w:p>
        </w:tc>
        <w:tc>
          <w:tcPr>
            <w:tcW w:w="0" w:type="auto"/>
            <w:tcMar>
              <w:top w:w="150" w:type="dxa"/>
              <w:left w:w="240" w:type="dxa"/>
              <w:bottom w:w="150" w:type="dxa"/>
              <w:right w:w="240" w:type="dxa"/>
            </w:tcMar>
            <w:vAlign w:val="center"/>
            <w:hideMark/>
          </w:tcPr>
          <w:p w14:paraId="2867516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-0.81</w:t>
            </w:r>
          </w:p>
        </w:tc>
        <w:tc>
          <w:tcPr>
            <w:tcW w:w="0" w:type="auto"/>
            <w:tcMar>
              <w:top w:w="150" w:type="dxa"/>
              <w:left w:w="240" w:type="dxa"/>
              <w:bottom w:w="150" w:type="dxa"/>
              <w:right w:w="0" w:type="dxa"/>
            </w:tcMar>
            <w:vAlign w:val="center"/>
            <w:hideMark/>
          </w:tcPr>
          <w:p w14:paraId="1EAB65F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Stable</w:t>
            </w:r>
          </w:p>
        </w:tc>
      </w:tr>
      <w:tr w:rsidR="003A7F72" w:rsidRPr="003A7F72" w14:paraId="72D607B5" w14:textId="77777777" w:rsidTr="00A51480">
        <w:trPr>
          <w:trHeight w:val="263"/>
        </w:trPr>
        <w:tc>
          <w:tcPr>
            <w:tcW w:w="0" w:type="auto"/>
            <w:tcMar>
              <w:top w:w="150" w:type="dxa"/>
              <w:left w:w="0" w:type="dxa"/>
              <w:bottom w:w="150" w:type="dxa"/>
              <w:right w:w="240" w:type="dxa"/>
            </w:tcMar>
            <w:vAlign w:val="center"/>
            <w:hideMark/>
          </w:tcPr>
          <w:p w14:paraId="5AAA5A4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Pre-2015 subset</w:t>
            </w:r>
          </w:p>
        </w:tc>
        <w:tc>
          <w:tcPr>
            <w:tcW w:w="0" w:type="auto"/>
            <w:tcMar>
              <w:top w:w="150" w:type="dxa"/>
              <w:left w:w="240" w:type="dxa"/>
              <w:bottom w:w="150" w:type="dxa"/>
              <w:right w:w="240" w:type="dxa"/>
            </w:tcMar>
            <w:vAlign w:val="center"/>
            <w:hideMark/>
          </w:tcPr>
          <w:p w14:paraId="5457066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-0.78</w:t>
            </w:r>
          </w:p>
        </w:tc>
        <w:tc>
          <w:tcPr>
            <w:tcW w:w="0" w:type="auto"/>
            <w:tcMar>
              <w:top w:w="150" w:type="dxa"/>
              <w:left w:w="240" w:type="dxa"/>
              <w:bottom w:w="150" w:type="dxa"/>
              <w:right w:w="0" w:type="dxa"/>
            </w:tcMar>
            <w:vAlign w:val="center"/>
            <w:hideMark/>
          </w:tcPr>
          <w:p w14:paraId="299C78E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Stable</w:t>
            </w:r>
          </w:p>
        </w:tc>
      </w:tr>
      <w:tr w:rsidR="003A7F72" w:rsidRPr="003A7F72" w14:paraId="10F75D86" w14:textId="77777777" w:rsidTr="00A51480">
        <w:trPr>
          <w:trHeight w:val="263"/>
        </w:trPr>
        <w:tc>
          <w:tcPr>
            <w:tcW w:w="0" w:type="auto"/>
            <w:tcMar>
              <w:top w:w="150" w:type="dxa"/>
              <w:left w:w="0" w:type="dxa"/>
              <w:bottom w:w="150" w:type="dxa"/>
              <w:right w:w="240" w:type="dxa"/>
            </w:tcMar>
            <w:vAlign w:val="center"/>
            <w:hideMark/>
          </w:tcPr>
          <w:p w14:paraId="17F29EE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lastRenderedPageBreak/>
              <w:t>Post-2015 subset</w:t>
            </w:r>
          </w:p>
        </w:tc>
        <w:tc>
          <w:tcPr>
            <w:tcW w:w="0" w:type="auto"/>
            <w:tcMar>
              <w:top w:w="150" w:type="dxa"/>
              <w:left w:w="240" w:type="dxa"/>
              <w:bottom w:w="150" w:type="dxa"/>
              <w:right w:w="240" w:type="dxa"/>
            </w:tcMar>
            <w:vAlign w:val="center"/>
            <w:hideMark/>
          </w:tcPr>
          <w:p w14:paraId="51C67FA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-0.82</w:t>
            </w:r>
          </w:p>
        </w:tc>
        <w:tc>
          <w:tcPr>
            <w:tcW w:w="0" w:type="auto"/>
            <w:tcMar>
              <w:top w:w="150" w:type="dxa"/>
              <w:left w:w="240" w:type="dxa"/>
              <w:bottom w:w="150" w:type="dxa"/>
              <w:right w:w="0" w:type="dxa"/>
            </w:tcMar>
            <w:vAlign w:val="center"/>
            <w:hideMark/>
          </w:tcPr>
          <w:p w14:paraId="471BCF9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Stable</w:t>
            </w:r>
          </w:p>
        </w:tc>
      </w:tr>
      <w:tr w:rsidR="003A7F72" w:rsidRPr="003A7F72" w14:paraId="2C6A6E11" w14:textId="77777777" w:rsidTr="00A51480">
        <w:trPr>
          <w:trHeight w:val="263"/>
        </w:trPr>
        <w:tc>
          <w:tcPr>
            <w:tcW w:w="0" w:type="auto"/>
            <w:tcBorders>
              <w:bottom w:val="single" w:sz="6" w:space="0" w:color="auto"/>
            </w:tcBorders>
            <w:tcMar>
              <w:top w:w="150" w:type="dxa"/>
              <w:left w:w="0" w:type="dxa"/>
              <w:bottom w:w="150" w:type="dxa"/>
              <w:right w:w="240" w:type="dxa"/>
            </w:tcMar>
            <w:vAlign w:val="center"/>
            <w:hideMark/>
          </w:tcPr>
          <w:p w14:paraId="7CCBA1B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Excluding Dar es Salaam</w:t>
            </w:r>
          </w:p>
        </w:tc>
        <w:tc>
          <w:tcPr>
            <w:tcW w:w="0" w:type="auto"/>
            <w:tcBorders>
              <w:bottom w:val="single" w:sz="6" w:space="0" w:color="auto"/>
            </w:tcBorders>
            <w:tcMar>
              <w:top w:w="150" w:type="dxa"/>
              <w:left w:w="240" w:type="dxa"/>
              <w:bottom w:w="150" w:type="dxa"/>
              <w:right w:w="240" w:type="dxa"/>
            </w:tcMar>
            <w:vAlign w:val="center"/>
            <w:hideMark/>
          </w:tcPr>
          <w:p w14:paraId="2B07C0A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-0.80</w:t>
            </w:r>
          </w:p>
        </w:tc>
        <w:tc>
          <w:tcPr>
            <w:tcW w:w="0" w:type="auto"/>
            <w:tcBorders>
              <w:bottom w:val="single" w:sz="6" w:space="0" w:color="auto"/>
            </w:tcBorders>
            <w:tcMar>
              <w:top w:w="150" w:type="dxa"/>
              <w:left w:w="240" w:type="dxa"/>
              <w:bottom w:w="150" w:type="dxa"/>
              <w:right w:w="0" w:type="dxa"/>
            </w:tcMar>
            <w:vAlign w:val="center"/>
            <w:hideMark/>
          </w:tcPr>
          <w:p w14:paraId="6375773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Stable</w:t>
            </w:r>
          </w:p>
        </w:tc>
      </w:tr>
    </w:tbl>
    <w:p w14:paraId="0A0D3ECC"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threshold remains stable under variations in spatial weights and model parameters, indicating that it reflects a structural property of the system rather than a model artifact.</w:t>
      </w:r>
    </w:p>
    <w:p w14:paraId="392EC990"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S7. Model Diagnostics and Robustness Checks</w:t>
      </w:r>
    </w:p>
    <w:p w14:paraId="52F76EA8"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Model validity was assessed using multiple diagnostic tests to ensure statistical reliability and inferential integrity.</w:t>
      </w:r>
    </w:p>
    <w:p w14:paraId="795CF899"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Multicollinearity Assessment:</w:t>
      </w:r>
    </w:p>
    <w:p w14:paraId="7EB9F00D"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Variance Inflation Factor (VIF) values were calculated for all explanatory variables:</w:t>
      </w:r>
    </w:p>
    <w:p w14:paraId="3E3B2745" w14:textId="77777777" w:rsidR="003A7F72" w:rsidRPr="003A7F72" w:rsidRDefault="003A7F72" w:rsidP="00A51480">
      <w:pPr>
        <w:shd w:val="clear" w:color="auto" w:fill="FFFFFF"/>
        <w:spacing w:before="240" w:after="240" w:line="240" w:lineRule="auto"/>
        <w:jc w:val="center"/>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S6. Variance Inflation Factor (VIF) Diagnostics</w:t>
      </w:r>
    </w:p>
    <w:tbl>
      <w:tblPr>
        <w:tblW w:w="8996" w:type="dxa"/>
        <w:tblCellMar>
          <w:top w:w="15" w:type="dxa"/>
          <w:left w:w="15" w:type="dxa"/>
          <w:bottom w:w="15" w:type="dxa"/>
          <w:right w:w="15" w:type="dxa"/>
        </w:tblCellMar>
        <w:tblLook w:val="04A0" w:firstRow="1" w:lastRow="0" w:firstColumn="1" w:lastColumn="0" w:noHBand="0" w:noVBand="1"/>
      </w:tblPr>
      <w:tblGrid>
        <w:gridCol w:w="4882"/>
        <w:gridCol w:w="1683"/>
        <w:gridCol w:w="2431"/>
      </w:tblGrid>
      <w:tr w:rsidR="003A7F72" w:rsidRPr="003A7F72" w14:paraId="498648CA" w14:textId="77777777" w:rsidTr="00973936">
        <w:trPr>
          <w:trHeight w:val="275"/>
          <w:tblHeader/>
        </w:trPr>
        <w:tc>
          <w:tcPr>
            <w:tcW w:w="0" w:type="auto"/>
            <w:tcBorders>
              <w:top w:val="single" w:sz="4" w:space="0" w:color="auto"/>
              <w:bottom w:val="single" w:sz="4" w:space="0" w:color="auto"/>
            </w:tcBorders>
            <w:tcMar>
              <w:top w:w="150" w:type="dxa"/>
              <w:left w:w="0" w:type="dxa"/>
              <w:bottom w:w="150" w:type="dxa"/>
              <w:right w:w="240" w:type="dxa"/>
            </w:tcMar>
            <w:vAlign w:val="center"/>
            <w:hideMark/>
          </w:tcPr>
          <w:p w14:paraId="7E5E685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Variable</w:t>
            </w:r>
          </w:p>
        </w:tc>
        <w:tc>
          <w:tcPr>
            <w:tcW w:w="0" w:type="auto"/>
            <w:tcBorders>
              <w:top w:val="single" w:sz="4" w:space="0" w:color="auto"/>
              <w:bottom w:val="single" w:sz="4" w:space="0" w:color="auto"/>
            </w:tcBorders>
            <w:tcMar>
              <w:top w:w="150" w:type="dxa"/>
              <w:left w:w="240" w:type="dxa"/>
              <w:bottom w:w="150" w:type="dxa"/>
              <w:right w:w="240" w:type="dxa"/>
            </w:tcMar>
            <w:vAlign w:val="center"/>
            <w:hideMark/>
          </w:tcPr>
          <w:p w14:paraId="06D5CF7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VIF</w:t>
            </w:r>
          </w:p>
        </w:tc>
        <w:tc>
          <w:tcPr>
            <w:tcW w:w="0" w:type="auto"/>
            <w:tcBorders>
              <w:top w:val="single" w:sz="4" w:space="0" w:color="auto"/>
              <w:bottom w:val="single" w:sz="4" w:space="0" w:color="auto"/>
            </w:tcBorders>
            <w:tcMar>
              <w:top w:w="150" w:type="dxa"/>
              <w:left w:w="240" w:type="dxa"/>
              <w:bottom w:w="150" w:type="dxa"/>
              <w:right w:w="240" w:type="dxa"/>
            </w:tcMar>
            <w:vAlign w:val="center"/>
            <w:hideMark/>
          </w:tcPr>
          <w:p w14:paraId="5385A7E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Status</w:t>
            </w:r>
          </w:p>
        </w:tc>
      </w:tr>
      <w:tr w:rsidR="003A7F72" w:rsidRPr="003A7F72" w14:paraId="1E3470C0" w14:textId="77777777" w:rsidTr="00973936">
        <w:trPr>
          <w:trHeight w:val="264"/>
        </w:trPr>
        <w:tc>
          <w:tcPr>
            <w:tcW w:w="0" w:type="auto"/>
            <w:tcBorders>
              <w:top w:val="single" w:sz="4" w:space="0" w:color="auto"/>
            </w:tcBorders>
            <w:tcMar>
              <w:top w:w="150" w:type="dxa"/>
              <w:left w:w="0" w:type="dxa"/>
              <w:bottom w:w="150" w:type="dxa"/>
              <w:right w:w="240" w:type="dxa"/>
            </w:tcMar>
            <w:vAlign w:val="center"/>
            <w:hideMark/>
          </w:tcPr>
          <w:p w14:paraId="3FA3565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NDVI</w:t>
            </w:r>
          </w:p>
        </w:tc>
        <w:tc>
          <w:tcPr>
            <w:tcW w:w="0" w:type="auto"/>
            <w:tcBorders>
              <w:top w:val="single" w:sz="4" w:space="0" w:color="auto"/>
            </w:tcBorders>
            <w:tcMar>
              <w:top w:w="150" w:type="dxa"/>
              <w:left w:w="240" w:type="dxa"/>
              <w:bottom w:w="150" w:type="dxa"/>
              <w:right w:w="240" w:type="dxa"/>
            </w:tcMar>
            <w:vAlign w:val="center"/>
            <w:hideMark/>
          </w:tcPr>
          <w:p w14:paraId="7834CD4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3.21</w:t>
            </w:r>
          </w:p>
        </w:tc>
        <w:tc>
          <w:tcPr>
            <w:tcW w:w="0" w:type="auto"/>
            <w:tcBorders>
              <w:top w:val="single" w:sz="4" w:space="0" w:color="auto"/>
            </w:tcBorders>
            <w:tcMar>
              <w:top w:w="150" w:type="dxa"/>
              <w:left w:w="240" w:type="dxa"/>
              <w:bottom w:w="150" w:type="dxa"/>
              <w:right w:w="0" w:type="dxa"/>
            </w:tcMar>
            <w:vAlign w:val="center"/>
            <w:hideMark/>
          </w:tcPr>
          <w:p w14:paraId="1CB31B8B"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Acceptable</w:t>
            </w:r>
          </w:p>
        </w:tc>
      </w:tr>
      <w:tr w:rsidR="003A7F72" w:rsidRPr="003A7F72" w14:paraId="73CEE5EA" w14:textId="77777777" w:rsidTr="00973936">
        <w:trPr>
          <w:trHeight w:val="275"/>
        </w:trPr>
        <w:tc>
          <w:tcPr>
            <w:tcW w:w="0" w:type="auto"/>
            <w:tcMar>
              <w:top w:w="150" w:type="dxa"/>
              <w:left w:w="0" w:type="dxa"/>
              <w:bottom w:w="150" w:type="dxa"/>
              <w:right w:w="240" w:type="dxa"/>
            </w:tcMar>
            <w:vAlign w:val="center"/>
            <w:hideMark/>
          </w:tcPr>
          <w:p w14:paraId="5CD633A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MNDWI</w:t>
            </w:r>
          </w:p>
        </w:tc>
        <w:tc>
          <w:tcPr>
            <w:tcW w:w="0" w:type="auto"/>
            <w:tcMar>
              <w:top w:w="150" w:type="dxa"/>
              <w:left w:w="240" w:type="dxa"/>
              <w:bottom w:w="150" w:type="dxa"/>
              <w:right w:w="240" w:type="dxa"/>
            </w:tcMar>
            <w:vAlign w:val="center"/>
            <w:hideMark/>
          </w:tcPr>
          <w:p w14:paraId="2087F5C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2.87</w:t>
            </w:r>
          </w:p>
        </w:tc>
        <w:tc>
          <w:tcPr>
            <w:tcW w:w="0" w:type="auto"/>
            <w:tcMar>
              <w:top w:w="150" w:type="dxa"/>
              <w:left w:w="240" w:type="dxa"/>
              <w:bottom w:w="150" w:type="dxa"/>
              <w:right w:w="0" w:type="dxa"/>
            </w:tcMar>
            <w:vAlign w:val="center"/>
            <w:hideMark/>
          </w:tcPr>
          <w:p w14:paraId="1AEC3C3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Acceptable</w:t>
            </w:r>
          </w:p>
        </w:tc>
      </w:tr>
      <w:tr w:rsidR="003A7F72" w:rsidRPr="003A7F72" w14:paraId="134A2D42" w14:textId="77777777" w:rsidTr="00973936">
        <w:trPr>
          <w:trHeight w:val="275"/>
        </w:trPr>
        <w:tc>
          <w:tcPr>
            <w:tcW w:w="0" w:type="auto"/>
            <w:tcMar>
              <w:top w:w="150" w:type="dxa"/>
              <w:left w:w="0" w:type="dxa"/>
              <w:bottom w:w="150" w:type="dxa"/>
              <w:right w:w="240" w:type="dxa"/>
            </w:tcMar>
            <w:vAlign w:val="center"/>
            <w:hideMark/>
          </w:tcPr>
          <w:p w14:paraId="63573D5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Rainfall</w:t>
            </w:r>
          </w:p>
        </w:tc>
        <w:tc>
          <w:tcPr>
            <w:tcW w:w="0" w:type="auto"/>
            <w:tcMar>
              <w:top w:w="150" w:type="dxa"/>
              <w:left w:w="240" w:type="dxa"/>
              <w:bottom w:w="150" w:type="dxa"/>
              <w:right w:w="240" w:type="dxa"/>
            </w:tcMar>
            <w:vAlign w:val="center"/>
            <w:hideMark/>
          </w:tcPr>
          <w:p w14:paraId="24D90BD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1.54</w:t>
            </w:r>
          </w:p>
        </w:tc>
        <w:tc>
          <w:tcPr>
            <w:tcW w:w="0" w:type="auto"/>
            <w:tcMar>
              <w:top w:w="150" w:type="dxa"/>
              <w:left w:w="240" w:type="dxa"/>
              <w:bottom w:w="150" w:type="dxa"/>
              <w:right w:w="0" w:type="dxa"/>
            </w:tcMar>
            <w:vAlign w:val="center"/>
            <w:hideMark/>
          </w:tcPr>
          <w:p w14:paraId="35A8441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Acceptable</w:t>
            </w:r>
          </w:p>
        </w:tc>
      </w:tr>
      <w:tr w:rsidR="003A7F72" w:rsidRPr="003A7F72" w14:paraId="15B5DE25" w14:textId="77777777" w:rsidTr="00973936">
        <w:trPr>
          <w:trHeight w:val="275"/>
        </w:trPr>
        <w:tc>
          <w:tcPr>
            <w:tcW w:w="0" w:type="auto"/>
            <w:tcMar>
              <w:top w:w="150" w:type="dxa"/>
              <w:left w:w="0" w:type="dxa"/>
              <w:bottom w:w="150" w:type="dxa"/>
              <w:right w:w="240" w:type="dxa"/>
            </w:tcMar>
            <w:vAlign w:val="center"/>
            <w:hideMark/>
          </w:tcPr>
          <w:p w14:paraId="1FB7083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Population Density</w:t>
            </w:r>
          </w:p>
        </w:tc>
        <w:tc>
          <w:tcPr>
            <w:tcW w:w="0" w:type="auto"/>
            <w:tcMar>
              <w:top w:w="150" w:type="dxa"/>
              <w:left w:w="240" w:type="dxa"/>
              <w:bottom w:w="150" w:type="dxa"/>
              <w:right w:w="240" w:type="dxa"/>
            </w:tcMar>
            <w:vAlign w:val="center"/>
            <w:hideMark/>
          </w:tcPr>
          <w:p w14:paraId="4BC29AD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2.13</w:t>
            </w:r>
          </w:p>
        </w:tc>
        <w:tc>
          <w:tcPr>
            <w:tcW w:w="0" w:type="auto"/>
            <w:tcMar>
              <w:top w:w="150" w:type="dxa"/>
              <w:left w:w="240" w:type="dxa"/>
              <w:bottom w:w="150" w:type="dxa"/>
              <w:right w:w="0" w:type="dxa"/>
            </w:tcMar>
            <w:vAlign w:val="center"/>
            <w:hideMark/>
          </w:tcPr>
          <w:p w14:paraId="03BA1B4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Acceptable</w:t>
            </w:r>
          </w:p>
        </w:tc>
      </w:tr>
      <w:tr w:rsidR="003A7F72" w:rsidRPr="003A7F72" w14:paraId="2891B36B" w14:textId="77777777" w:rsidTr="00973936">
        <w:trPr>
          <w:trHeight w:val="275"/>
        </w:trPr>
        <w:tc>
          <w:tcPr>
            <w:tcW w:w="0" w:type="auto"/>
            <w:tcBorders>
              <w:bottom w:val="single" w:sz="4" w:space="0" w:color="auto"/>
            </w:tcBorders>
            <w:tcMar>
              <w:top w:w="150" w:type="dxa"/>
              <w:left w:w="0" w:type="dxa"/>
              <w:bottom w:w="150" w:type="dxa"/>
              <w:right w:w="240" w:type="dxa"/>
            </w:tcMar>
            <w:vAlign w:val="center"/>
            <w:hideMark/>
          </w:tcPr>
          <w:p w14:paraId="7D17F95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NTL × NDVI Interaction</w:t>
            </w:r>
          </w:p>
        </w:tc>
        <w:tc>
          <w:tcPr>
            <w:tcW w:w="0" w:type="auto"/>
            <w:tcBorders>
              <w:bottom w:val="single" w:sz="4" w:space="0" w:color="auto"/>
            </w:tcBorders>
            <w:tcMar>
              <w:top w:w="150" w:type="dxa"/>
              <w:left w:w="240" w:type="dxa"/>
              <w:bottom w:w="150" w:type="dxa"/>
              <w:right w:w="240" w:type="dxa"/>
            </w:tcMar>
            <w:vAlign w:val="center"/>
            <w:hideMark/>
          </w:tcPr>
          <w:p w14:paraId="1BC699B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4.02</w:t>
            </w:r>
          </w:p>
        </w:tc>
        <w:tc>
          <w:tcPr>
            <w:tcW w:w="0" w:type="auto"/>
            <w:tcBorders>
              <w:bottom w:val="single" w:sz="4" w:space="0" w:color="auto"/>
            </w:tcBorders>
            <w:tcMar>
              <w:top w:w="150" w:type="dxa"/>
              <w:left w:w="240" w:type="dxa"/>
              <w:bottom w:w="150" w:type="dxa"/>
              <w:right w:w="0" w:type="dxa"/>
            </w:tcMar>
            <w:vAlign w:val="center"/>
            <w:hideMark/>
          </w:tcPr>
          <w:p w14:paraId="2D04B49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Acceptable</w:t>
            </w:r>
          </w:p>
        </w:tc>
      </w:tr>
    </w:tbl>
    <w:p w14:paraId="789CD52D"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All VIF values are below the conventional threshold of 10, confirming the absence of severe multicollinearity (O'Brien, 2007).</w:t>
      </w:r>
    </w:p>
    <w:p w14:paraId="33AB203A"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Spatial Autocorrelation Diagnostics</w:t>
      </w:r>
    </w:p>
    <w:p w14:paraId="470014BB" w14:textId="77777777" w:rsidR="003A7F72" w:rsidRPr="003A7F72" w:rsidRDefault="003A7F72" w:rsidP="00A51480">
      <w:pPr>
        <w:shd w:val="clear" w:color="auto" w:fill="FFFFFF"/>
        <w:spacing w:before="240" w:after="240" w:line="240" w:lineRule="auto"/>
        <w:jc w:val="center"/>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S7. Spatial Autocorrelation Diagnostics</w:t>
      </w:r>
    </w:p>
    <w:tbl>
      <w:tblPr>
        <w:tblW w:w="0" w:type="auto"/>
        <w:tblCellMar>
          <w:top w:w="15" w:type="dxa"/>
          <w:left w:w="15" w:type="dxa"/>
          <w:bottom w:w="15" w:type="dxa"/>
          <w:right w:w="15" w:type="dxa"/>
        </w:tblCellMar>
        <w:tblLook w:val="04A0" w:firstRow="1" w:lastRow="0" w:firstColumn="1" w:lastColumn="0" w:noHBand="0" w:noVBand="1"/>
      </w:tblPr>
      <w:tblGrid>
        <w:gridCol w:w="2757"/>
        <w:gridCol w:w="1113"/>
        <w:gridCol w:w="1170"/>
        <w:gridCol w:w="3351"/>
      </w:tblGrid>
      <w:tr w:rsidR="003A7F72" w:rsidRPr="003A7F72" w14:paraId="55276E67" w14:textId="77777777" w:rsidTr="00A53146">
        <w:trPr>
          <w:tblHeader/>
        </w:trPr>
        <w:tc>
          <w:tcPr>
            <w:tcW w:w="0" w:type="auto"/>
            <w:tcBorders>
              <w:top w:val="single" w:sz="12" w:space="0" w:color="auto"/>
              <w:bottom w:val="single" w:sz="4" w:space="0" w:color="auto"/>
            </w:tcBorders>
            <w:tcMar>
              <w:top w:w="150" w:type="dxa"/>
              <w:left w:w="0" w:type="dxa"/>
              <w:bottom w:w="150" w:type="dxa"/>
              <w:right w:w="240" w:type="dxa"/>
            </w:tcMar>
            <w:vAlign w:val="center"/>
            <w:hideMark/>
          </w:tcPr>
          <w:p w14:paraId="6928249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lastRenderedPageBreak/>
              <w:t>Diagnostic</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4410D32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Value</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54825E2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p-value</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286210B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Interpretation</w:t>
            </w:r>
          </w:p>
        </w:tc>
      </w:tr>
      <w:tr w:rsidR="003A7F72" w:rsidRPr="003A7F72" w14:paraId="5A692595" w14:textId="77777777" w:rsidTr="00A53146">
        <w:tc>
          <w:tcPr>
            <w:tcW w:w="0" w:type="auto"/>
            <w:tcBorders>
              <w:top w:val="single" w:sz="4" w:space="0" w:color="auto"/>
            </w:tcBorders>
            <w:tcMar>
              <w:top w:w="150" w:type="dxa"/>
              <w:left w:w="0" w:type="dxa"/>
              <w:bottom w:w="150" w:type="dxa"/>
              <w:right w:w="240" w:type="dxa"/>
            </w:tcMar>
            <w:vAlign w:val="center"/>
            <w:hideMark/>
          </w:tcPr>
          <w:p w14:paraId="64C35B4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Moran's I (Residuals)</w:t>
            </w:r>
          </w:p>
        </w:tc>
        <w:tc>
          <w:tcPr>
            <w:tcW w:w="0" w:type="auto"/>
            <w:tcBorders>
              <w:top w:val="single" w:sz="4" w:space="0" w:color="auto"/>
            </w:tcBorders>
            <w:tcMar>
              <w:top w:w="150" w:type="dxa"/>
              <w:left w:w="240" w:type="dxa"/>
              <w:bottom w:w="150" w:type="dxa"/>
              <w:right w:w="240" w:type="dxa"/>
            </w:tcMar>
            <w:vAlign w:val="center"/>
            <w:hideMark/>
          </w:tcPr>
          <w:p w14:paraId="3591A84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0.1478</w:t>
            </w:r>
          </w:p>
        </w:tc>
        <w:tc>
          <w:tcPr>
            <w:tcW w:w="0" w:type="auto"/>
            <w:tcBorders>
              <w:top w:val="single" w:sz="4" w:space="0" w:color="auto"/>
            </w:tcBorders>
            <w:tcMar>
              <w:top w:w="150" w:type="dxa"/>
              <w:left w:w="240" w:type="dxa"/>
              <w:bottom w:w="150" w:type="dxa"/>
              <w:right w:w="240" w:type="dxa"/>
            </w:tcMar>
            <w:vAlign w:val="center"/>
            <w:hideMark/>
          </w:tcPr>
          <w:p w14:paraId="2FF1A4C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&lt;0.01</w:t>
            </w:r>
          </w:p>
        </w:tc>
        <w:tc>
          <w:tcPr>
            <w:tcW w:w="0" w:type="auto"/>
            <w:tcBorders>
              <w:top w:val="single" w:sz="4" w:space="0" w:color="auto"/>
            </w:tcBorders>
            <w:tcMar>
              <w:top w:w="150" w:type="dxa"/>
              <w:left w:w="240" w:type="dxa"/>
              <w:bottom w:w="150" w:type="dxa"/>
              <w:right w:w="0" w:type="dxa"/>
            </w:tcMar>
            <w:vAlign w:val="center"/>
            <w:hideMark/>
          </w:tcPr>
          <w:p w14:paraId="644C33B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Some residual spatial dependence</w:t>
            </w:r>
          </w:p>
        </w:tc>
      </w:tr>
      <w:tr w:rsidR="003A7F72" w:rsidRPr="003A7F72" w14:paraId="0D7BE173" w14:textId="77777777" w:rsidTr="00A53146">
        <w:tc>
          <w:tcPr>
            <w:tcW w:w="0" w:type="auto"/>
            <w:tcMar>
              <w:top w:w="150" w:type="dxa"/>
              <w:left w:w="0" w:type="dxa"/>
              <w:bottom w:w="150" w:type="dxa"/>
              <w:right w:w="240" w:type="dxa"/>
            </w:tcMar>
            <w:vAlign w:val="center"/>
            <w:hideMark/>
          </w:tcPr>
          <w:p w14:paraId="0ED3BC1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Lagrange Multiplier (lag)</w:t>
            </w:r>
          </w:p>
        </w:tc>
        <w:tc>
          <w:tcPr>
            <w:tcW w:w="0" w:type="auto"/>
            <w:tcMar>
              <w:top w:w="150" w:type="dxa"/>
              <w:left w:w="240" w:type="dxa"/>
              <w:bottom w:w="150" w:type="dxa"/>
              <w:right w:w="240" w:type="dxa"/>
            </w:tcMar>
            <w:vAlign w:val="center"/>
            <w:hideMark/>
          </w:tcPr>
          <w:p w14:paraId="6BE48F7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42.3</w:t>
            </w:r>
          </w:p>
        </w:tc>
        <w:tc>
          <w:tcPr>
            <w:tcW w:w="0" w:type="auto"/>
            <w:tcMar>
              <w:top w:w="150" w:type="dxa"/>
              <w:left w:w="240" w:type="dxa"/>
              <w:bottom w:w="150" w:type="dxa"/>
              <w:right w:w="240" w:type="dxa"/>
            </w:tcMar>
            <w:vAlign w:val="center"/>
            <w:hideMark/>
          </w:tcPr>
          <w:p w14:paraId="3A605D1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Mar>
              <w:top w:w="150" w:type="dxa"/>
              <w:left w:w="240" w:type="dxa"/>
              <w:bottom w:w="150" w:type="dxa"/>
              <w:right w:w="0" w:type="dxa"/>
            </w:tcMar>
            <w:vAlign w:val="center"/>
            <w:hideMark/>
          </w:tcPr>
          <w:p w14:paraId="1DDEF57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Significant spatial lag effects</w:t>
            </w:r>
          </w:p>
        </w:tc>
      </w:tr>
      <w:tr w:rsidR="003A7F72" w:rsidRPr="003A7F72" w14:paraId="4BA56903" w14:textId="77777777" w:rsidTr="00A53146">
        <w:tc>
          <w:tcPr>
            <w:tcW w:w="0" w:type="auto"/>
            <w:tcBorders>
              <w:bottom w:val="single" w:sz="4" w:space="0" w:color="auto"/>
            </w:tcBorders>
            <w:tcMar>
              <w:top w:w="150" w:type="dxa"/>
              <w:left w:w="0" w:type="dxa"/>
              <w:bottom w:w="150" w:type="dxa"/>
              <w:right w:w="240" w:type="dxa"/>
            </w:tcMar>
            <w:vAlign w:val="center"/>
            <w:hideMark/>
          </w:tcPr>
          <w:p w14:paraId="6484BEF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Lagrange Multiplier (error)</w:t>
            </w:r>
          </w:p>
        </w:tc>
        <w:tc>
          <w:tcPr>
            <w:tcW w:w="0" w:type="auto"/>
            <w:tcBorders>
              <w:bottom w:val="single" w:sz="4" w:space="0" w:color="auto"/>
            </w:tcBorders>
            <w:tcMar>
              <w:top w:w="150" w:type="dxa"/>
              <w:left w:w="240" w:type="dxa"/>
              <w:bottom w:w="150" w:type="dxa"/>
              <w:right w:w="240" w:type="dxa"/>
            </w:tcMar>
            <w:vAlign w:val="center"/>
            <w:hideMark/>
          </w:tcPr>
          <w:p w14:paraId="539FAAF4"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28.6</w:t>
            </w:r>
          </w:p>
        </w:tc>
        <w:tc>
          <w:tcPr>
            <w:tcW w:w="0" w:type="auto"/>
            <w:tcBorders>
              <w:bottom w:val="single" w:sz="4" w:space="0" w:color="auto"/>
            </w:tcBorders>
            <w:tcMar>
              <w:top w:w="150" w:type="dxa"/>
              <w:left w:w="240" w:type="dxa"/>
              <w:bottom w:w="150" w:type="dxa"/>
              <w:right w:w="240" w:type="dxa"/>
            </w:tcMar>
            <w:vAlign w:val="center"/>
            <w:hideMark/>
          </w:tcPr>
          <w:p w14:paraId="2F6E319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&lt;0.001</w:t>
            </w:r>
          </w:p>
        </w:tc>
        <w:tc>
          <w:tcPr>
            <w:tcW w:w="0" w:type="auto"/>
            <w:tcBorders>
              <w:bottom w:val="single" w:sz="4" w:space="0" w:color="auto"/>
            </w:tcBorders>
            <w:tcMar>
              <w:top w:w="150" w:type="dxa"/>
              <w:left w:w="240" w:type="dxa"/>
              <w:bottom w:w="150" w:type="dxa"/>
              <w:right w:w="0" w:type="dxa"/>
            </w:tcMar>
            <w:vAlign w:val="center"/>
            <w:hideMark/>
          </w:tcPr>
          <w:p w14:paraId="3170B39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Significant spatial error effects</w:t>
            </w:r>
          </w:p>
        </w:tc>
      </w:tr>
    </w:tbl>
    <w:p w14:paraId="23BA7FCB"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Residual Moran's I = 0.1478 (p &lt; 0.01) indicates remaining localized spatial dependence. This is common in spatial econometric models and does not invalidate the overall inferential framework (</w:t>
      </w:r>
      <w:proofErr w:type="spellStart"/>
      <w:r w:rsidRPr="003A7F72">
        <w:rPr>
          <w:rFonts w:ascii="Times New Roman" w:eastAsia="Times New Roman" w:hAnsi="Times New Roman" w:cs="Times New Roman"/>
          <w:color w:val="0F1115"/>
          <w:sz w:val="24"/>
          <w:szCs w:val="24"/>
        </w:rPr>
        <w:t>Anselin</w:t>
      </w:r>
      <w:proofErr w:type="spellEnd"/>
      <w:r w:rsidRPr="003A7F72">
        <w:rPr>
          <w:rFonts w:ascii="Times New Roman" w:eastAsia="Times New Roman" w:hAnsi="Times New Roman" w:cs="Times New Roman"/>
          <w:color w:val="0F1115"/>
          <w:sz w:val="24"/>
          <w:szCs w:val="24"/>
        </w:rPr>
        <w:t>, 1988).</w:t>
      </w:r>
    </w:p>
    <w:p w14:paraId="44C55135"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Model Comparison</w:t>
      </w:r>
    </w:p>
    <w:p w14:paraId="60C93C83" w14:textId="77777777" w:rsidR="003A7F72" w:rsidRPr="003A7F72" w:rsidRDefault="003A7F72" w:rsidP="00A51480">
      <w:pPr>
        <w:shd w:val="clear" w:color="auto" w:fill="FFFFFF"/>
        <w:spacing w:before="240" w:after="240" w:line="240" w:lineRule="auto"/>
        <w:jc w:val="center"/>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Table S8. Model Comparison</w:t>
      </w:r>
    </w:p>
    <w:tbl>
      <w:tblPr>
        <w:tblW w:w="9449" w:type="dxa"/>
        <w:tblCellMar>
          <w:top w:w="15" w:type="dxa"/>
          <w:left w:w="15" w:type="dxa"/>
          <w:bottom w:w="15" w:type="dxa"/>
          <w:right w:w="15" w:type="dxa"/>
        </w:tblCellMar>
        <w:tblLook w:val="04A0" w:firstRow="1" w:lastRow="0" w:firstColumn="1" w:lastColumn="0" w:noHBand="0" w:noVBand="1"/>
      </w:tblPr>
      <w:tblGrid>
        <w:gridCol w:w="3295"/>
        <w:gridCol w:w="2630"/>
        <w:gridCol w:w="1589"/>
        <w:gridCol w:w="1935"/>
      </w:tblGrid>
      <w:tr w:rsidR="003A7F72" w:rsidRPr="003A7F72" w14:paraId="24B7EEB5" w14:textId="77777777" w:rsidTr="00A53146">
        <w:trPr>
          <w:trHeight w:val="373"/>
          <w:tblHeader/>
        </w:trPr>
        <w:tc>
          <w:tcPr>
            <w:tcW w:w="0" w:type="auto"/>
            <w:tcBorders>
              <w:top w:val="single" w:sz="12" w:space="0" w:color="auto"/>
              <w:bottom w:val="single" w:sz="4" w:space="0" w:color="auto"/>
            </w:tcBorders>
            <w:tcMar>
              <w:top w:w="150" w:type="dxa"/>
              <w:left w:w="0" w:type="dxa"/>
              <w:bottom w:w="150" w:type="dxa"/>
              <w:right w:w="240" w:type="dxa"/>
            </w:tcMar>
            <w:vAlign w:val="center"/>
            <w:hideMark/>
          </w:tcPr>
          <w:p w14:paraId="23235AC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Model</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1E5DB745"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Log-Likelihood</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0C4C9009"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AIC</w:t>
            </w:r>
          </w:p>
        </w:tc>
        <w:tc>
          <w:tcPr>
            <w:tcW w:w="0" w:type="auto"/>
            <w:tcBorders>
              <w:top w:val="single" w:sz="12" w:space="0" w:color="auto"/>
              <w:bottom w:val="single" w:sz="4" w:space="0" w:color="auto"/>
            </w:tcBorders>
            <w:tcMar>
              <w:top w:w="150" w:type="dxa"/>
              <w:left w:w="240" w:type="dxa"/>
              <w:bottom w:w="150" w:type="dxa"/>
              <w:right w:w="240" w:type="dxa"/>
            </w:tcMar>
            <w:vAlign w:val="center"/>
            <w:hideMark/>
          </w:tcPr>
          <w:p w14:paraId="703E650F"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Pseudo R²</w:t>
            </w:r>
          </w:p>
        </w:tc>
      </w:tr>
      <w:tr w:rsidR="003A7F72" w:rsidRPr="003A7F72" w14:paraId="15206F6A" w14:textId="77777777" w:rsidTr="00A53146">
        <w:trPr>
          <w:trHeight w:val="373"/>
        </w:trPr>
        <w:tc>
          <w:tcPr>
            <w:tcW w:w="0" w:type="auto"/>
            <w:tcBorders>
              <w:top w:val="single" w:sz="4" w:space="0" w:color="auto"/>
            </w:tcBorders>
            <w:tcMar>
              <w:top w:w="150" w:type="dxa"/>
              <w:left w:w="0" w:type="dxa"/>
              <w:bottom w:w="150" w:type="dxa"/>
              <w:right w:w="240" w:type="dxa"/>
            </w:tcMar>
            <w:vAlign w:val="center"/>
            <w:hideMark/>
          </w:tcPr>
          <w:p w14:paraId="3F4D4BC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OLS</w:t>
            </w:r>
          </w:p>
        </w:tc>
        <w:tc>
          <w:tcPr>
            <w:tcW w:w="0" w:type="auto"/>
            <w:tcBorders>
              <w:top w:val="single" w:sz="4" w:space="0" w:color="auto"/>
            </w:tcBorders>
            <w:tcMar>
              <w:top w:w="150" w:type="dxa"/>
              <w:left w:w="240" w:type="dxa"/>
              <w:bottom w:w="150" w:type="dxa"/>
              <w:right w:w="240" w:type="dxa"/>
            </w:tcMar>
            <w:vAlign w:val="center"/>
            <w:hideMark/>
          </w:tcPr>
          <w:p w14:paraId="1360E9B6"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-3,892.4</w:t>
            </w:r>
          </w:p>
        </w:tc>
        <w:tc>
          <w:tcPr>
            <w:tcW w:w="0" w:type="auto"/>
            <w:tcBorders>
              <w:top w:val="single" w:sz="4" w:space="0" w:color="auto"/>
            </w:tcBorders>
            <w:tcMar>
              <w:top w:w="150" w:type="dxa"/>
              <w:left w:w="240" w:type="dxa"/>
              <w:bottom w:w="150" w:type="dxa"/>
              <w:right w:w="240" w:type="dxa"/>
            </w:tcMar>
            <w:vAlign w:val="center"/>
            <w:hideMark/>
          </w:tcPr>
          <w:p w14:paraId="07F2AB7C"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7,802.8</w:t>
            </w:r>
          </w:p>
        </w:tc>
        <w:tc>
          <w:tcPr>
            <w:tcW w:w="0" w:type="auto"/>
            <w:tcBorders>
              <w:top w:val="single" w:sz="4" w:space="0" w:color="auto"/>
            </w:tcBorders>
            <w:tcMar>
              <w:top w:w="150" w:type="dxa"/>
              <w:left w:w="240" w:type="dxa"/>
              <w:bottom w:w="150" w:type="dxa"/>
              <w:right w:w="0" w:type="dxa"/>
            </w:tcMar>
            <w:vAlign w:val="center"/>
            <w:hideMark/>
          </w:tcPr>
          <w:p w14:paraId="03A968A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0.614</w:t>
            </w:r>
          </w:p>
        </w:tc>
      </w:tr>
      <w:tr w:rsidR="003A7F72" w:rsidRPr="003A7F72" w14:paraId="725046B8" w14:textId="77777777" w:rsidTr="00A53146">
        <w:trPr>
          <w:trHeight w:val="373"/>
        </w:trPr>
        <w:tc>
          <w:tcPr>
            <w:tcW w:w="0" w:type="auto"/>
            <w:tcMar>
              <w:top w:w="150" w:type="dxa"/>
              <w:left w:w="0" w:type="dxa"/>
              <w:bottom w:w="150" w:type="dxa"/>
              <w:right w:w="240" w:type="dxa"/>
            </w:tcMar>
            <w:vAlign w:val="center"/>
            <w:hideMark/>
          </w:tcPr>
          <w:p w14:paraId="185EF77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Spatial Lag (SAR)</w:t>
            </w:r>
          </w:p>
        </w:tc>
        <w:tc>
          <w:tcPr>
            <w:tcW w:w="0" w:type="auto"/>
            <w:tcMar>
              <w:top w:w="150" w:type="dxa"/>
              <w:left w:w="240" w:type="dxa"/>
              <w:bottom w:w="150" w:type="dxa"/>
              <w:right w:w="240" w:type="dxa"/>
            </w:tcMar>
            <w:vAlign w:val="center"/>
            <w:hideMark/>
          </w:tcPr>
          <w:p w14:paraId="0E47A443"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-3,742.1</w:t>
            </w:r>
          </w:p>
        </w:tc>
        <w:tc>
          <w:tcPr>
            <w:tcW w:w="0" w:type="auto"/>
            <w:tcMar>
              <w:top w:w="150" w:type="dxa"/>
              <w:left w:w="240" w:type="dxa"/>
              <w:bottom w:w="150" w:type="dxa"/>
              <w:right w:w="240" w:type="dxa"/>
            </w:tcMar>
            <w:vAlign w:val="center"/>
            <w:hideMark/>
          </w:tcPr>
          <w:p w14:paraId="6D755BA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7,504.2</w:t>
            </w:r>
          </w:p>
        </w:tc>
        <w:tc>
          <w:tcPr>
            <w:tcW w:w="0" w:type="auto"/>
            <w:tcMar>
              <w:top w:w="150" w:type="dxa"/>
              <w:left w:w="240" w:type="dxa"/>
              <w:bottom w:w="150" w:type="dxa"/>
              <w:right w:w="0" w:type="dxa"/>
            </w:tcMar>
            <w:vAlign w:val="center"/>
            <w:hideMark/>
          </w:tcPr>
          <w:p w14:paraId="4A491FA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0.846</w:t>
            </w:r>
          </w:p>
        </w:tc>
      </w:tr>
      <w:tr w:rsidR="003A7F72" w:rsidRPr="003A7F72" w14:paraId="1BBB2263" w14:textId="77777777" w:rsidTr="00A53146">
        <w:trPr>
          <w:trHeight w:val="373"/>
        </w:trPr>
        <w:tc>
          <w:tcPr>
            <w:tcW w:w="0" w:type="auto"/>
            <w:tcMar>
              <w:top w:w="150" w:type="dxa"/>
              <w:left w:w="0" w:type="dxa"/>
              <w:bottom w:w="150" w:type="dxa"/>
              <w:right w:w="240" w:type="dxa"/>
            </w:tcMar>
            <w:vAlign w:val="center"/>
            <w:hideMark/>
          </w:tcPr>
          <w:p w14:paraId="0CB6071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Spatial Error (SEM)</w:t>
            </w:r>
          </w:p>
        </w:tc>
        <w:tc>
          <w:tcPr>
            <w:tcW w:w="0" w:type="auto"/>
            <w:tcMar>
              <w:top w:w="150" w:type="dxa"/>
              <w:left w:w="240" w:type="dxa"/>
              <w:bottom w:w="150" w:type="dxa"/>
              <w:right w:w="240" w:type="dxa"/>
            </w:tcMar>
            <w:vAlign w:val="center"/>
            <w:hideMark/>
          </w:tcPr>
          <w:p w14:paraId="3E3BD08E"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-3,738.5</w:t>
            </w:r>
          </w:p>
        </w:tc>
        <w:tc>
          <w:tcPr>
            <w:tcW w:w="0" w:type="auto"/>
            <w:tcMar>
              <w:top w:w="150" w:type="dxa"/>
              <w:left w:w="240" w:type="dxa"/>
              <w:bottom w:w="150" w:type="dxa"/>
              <w:right w:w="240" w:type="dxa"/>
            </w:tcMar>
            <w:vAlign w:val="center"/>
            <w:hideMark/>
          </w:tcPr>
          <w:p w14:paraId="17BCBC71"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7,497.0</w:t>
            </w:r>
          </w:p>
        </w:tc>
        <w:tc>
          <w:tcPr>
            <w:tcW w:w="0" w:type="auto"/>
            <w:tcMar>
              <w:top w:w="150" w:type="dxa"/>
              <w:left w:w="240" w:type="dxa"/>
              <w:bottom w:w="150" w:type="dxa"/>
              <w:right w:w="0" w:type="dxa"/>
            </w:tcMar>
            <w:vAlign w:val="center"/>
            <w:hideMark/>
          </w:tcPr>
          <w:p w14:paraId="3E960142"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sz w:val="23"/>
                <w:szCs w:val="23"/>
              </w:rPr>
              <w:t>0.849</w:t>
            </w:r>
          </w:p>
        </w:tc>
      </w:tr>
      <w:tr w:rsidR="003A7F72" w:rsidRPr="003A7F72" w14:paraId="29387DD4" w14:textId="77777777" w:rsidTr="00A53146">
        <w:trPr>
          <w:trHeight w:val="358"/>
        </w:trPr>
        <w:tc>
          <w:tcPr>
            <w:tcW w:w="0" w:type="auto"/>
            <w:tcBorders>
              <w:bottom w:val="single" w:sz="4" w:space="0" w:color="auto"/>
            </w:tcBorders>
            <w:tcMar>
              <w:top w:w="150" w:type="dxa"/>
              <w:left w:w="0" w:type="dxa"/>
              <w:bottom w:w="150" w:type="dxa"/>
              <w:right w:w="240" w:type="dxa"/>
            </w:tcMar>
            <w:vAlign w:val="center"/>
            <w:hideMark/>
          </w:tcPr>
          <w:p w14:paraId="7522E888"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Spatial Durbin (SDM)</w:t>
            </w:r>
          </w:p>
        </w:tc>
        <w:tc>
          <w:tcPr>
            <w:tcW w:w="0" w:type="auto"/>
            <w:tcBorders>
              <w:bottom w:val="single" w:sz="4" w:space="0" w:color="auto"/>
            </w:tcBorders>
            <w:tcMar>
              <w:top w:w="150" w:type="dxa"/>
              <w:left w:w="240" w:type="dxa"/>
              <w:bottom w:w="150" w:type="dxa"/>
              <w:right w:w="240" w:type="dxa"/>
            </w:tcMar>
            <w:vAlign w:val="center"/>
            <w:hideMark/>
          </w:tcPr>
          <w:p w14:paraId="573FAEED"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-3,711.8</w:t>
            </w:r>
          </w:p>
        </w:tc>
        <w:tc>
          <w:tcPr>
            <w:tcW w:w="0" w:type="auto"/>
            <w:tcBorders>
              <w:bottom w:val="single" w:sz="4" w:space="0" w:color="auto"/>
            </w:tcBorders>
            <w:tcMar>
              <w:top w:w="150" w:type="dxa"/>
              <w:left w:w="240" w:type="dxa"/>
              <w:bottom w:w="150" w:type="dxa"/>
              <w:right w:w="240" w:type="dxa"/>
            </w:tcMar>
            <w:vAlign w:val="center"/>
            <w:hideMark/>
          </w:tcPr>
          <w:p w14:paraId="4126AE50"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7,439.7</w:t>
            </w:r>
          </w:p>
        </w:tc>
        <w:tc>
          <w:tcPr>
            <w:tcW w:w="0" w:type="auto"/>
            <w:tcBorders>
              <w:bottom w:val="single" w:sz="4" w:space="0" w:color="auto"/>
            </w:tcBorders>
            <w:tcMar>
              <w:top w:w="150" w:type="dxa"/>
              <w:left w:w="240" w:type="dxa"/>
              <w:bottom w:w="150" w:type="dxa"/>
              <w:right w:w="0" w:type="dxa"/>
            </w:tcMar>
            <w:vAlign w:val="center"/>
            <w:hideMark/>
          </w:tcPr>
          <w:p w14:paraId="03FA0257" w14:textId="77777777" w:rsidR="003A7F72" w:rsidRPr="003A7F72" w:rsidRDefault="003A7F72" w:rsidP="003A7F72">
            <w:pPr>
              <w:spacing w:after="0" w:line="375" w:lineRule="atLeast"/>
              <w:rPr>
                <w:rFonts w:ascii="Times New Roman" w:eastAsia="Times New Roman" w:hAnsi="Times New Roman" w:cs="Times New Roman"/>
                <w:sz w:val="23"/>
                <w:szCs w:val="23"/>
              </w:rPr>
            </w:pPr>
            <w:r w:rsidRPr="003A7F72">
              <w:rPr>
                <w:rFonts w:ascii="Times New Roman" w:eastAsia="Times New Roman" w:hAnsi="Times New Roman" w:cs="Times New Roman"/>
                <w:b/>
                <w:bCs/>
                <w:sz w:val="23"/>
                <w:szCs w:val="23"/>
              </w:rPr>
              <w:t>0.882</w:t>
            </w:r>
          </w:p>
        </w:tc>
      </w:tr>
    </w:tbl>
    <w:p w14:paraId="773FE6A9" w14:textId="77777777" w:rsidR="003A7F72" w:rsidRPr="003A7F72" w:rsidRDefault="003A7F72" w:rsidP="00A53146">
      <w:pPr>
        <w:shd w:val="clear" w:color="auto" w:fill="FFFFFF"/>
        <w:spacing w:before="240" w:after="240" w:line="240"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 SDM outperforms alternative specifications based on log-likelihood, AIC, and explanatory power, confirming its appropriateness for this analysis.</w:t>
      </w:r>
    </w:p>
    <w:p w14:paraId="6980C785" w14:textId="77777777" w:rsidR="003A7F72" w:rsidRPr="003A7F72" w:rsidRDefault="003A7F72" w:rsidP="00A53146">
      <w:pPr>
        <w:shd w:val="clear" w:color="auto" w:fill="FFFFFF"/>
        <w:spacing w:before="240" w:after="240" w:line="240"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These diagnostics confirm that the model captures the primary spatial processes while acknowledging the presence of additional localized dynamics.</w:t>
      </w:r>
    </w:p>
    <w:p w14:paraId="0C732956"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S8. Supplementary Figures</w:t>
      </w:r>
    </w:p>
    <w:p w14:paraId="390590EC" w14:textId="77777777" w:rsidR="00A53146" w:rsidRPr="00973936" w:rsidRDefault="00A53146" w:rsidP="003A7F72">
      <w:pPr>
        <w:shd w:val="clear" w:color="auto" w:fill="FFFFFF"/>
        <w:spacing w:before="240" w:after="240" w:line="240" w:lineRule="auto"/>
        <w:rPr>
          <w:rFonts w:ascii="Times New Roman" w:eastAsia="Times New Roman" w:hAnsi="Times New Roman" w:cs="Times New Roman"/>
          <w:b/>
          <w:bCs/>
          <w:color w:val="0F1115"/>
          <w:sz w:val="24"/>
          <w:szCs w:val="24"/>
        </w:rPr>
      </w:pPr>
      <w:r w:rsidRPr="00973936">
        <w:rPr>
          <w:rFonts w:ascii="Times New Roman" w:hAnsi="Times New Roman" w:cs="Times New Roman"/>
          <w:noProof/>
        </w:rPr>
        <w:lastRenderedPageBreak/>
        <w:drawing>
          <wp:inline distT="0" distB="0" distL="0" distR="0" wp14:anchorId="2726E5AD" wp14:editId="1A45D4C6">
            <wp:extent cx="5943600" cy="3605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4946" r="-721"/>
                    <a:stretch/>
                  </pic:blipFill>
                  <pic:spPr bwMode="auto">
                    <a:xfrm>
                      <a:off x="0" y="0"/>
                      <a:ext cx="5943600" cy="3605755"/>
                    </a:xfrm>
                    <a:prstGeom prst="rect">
                      <a:avLst/>
                    </a:prstGeom>
                    <a:noFill/>
                    <a:ln>
                      <a:noFill/>
                    </a:ln>
                    <a:extLst>
                      <a:ext uri="{53640926-AAD7-44D8-BBD7-CCE9431645EC}">
                        <a14:shadowObscured xmlns:a14="http://schemas.microsoft.com/office/drawing/2010/main"/>
                      </a:ext>
                    </a:extLst>
                  </pic:spPr>
                </pic:pic>
              </a:graphicData>
            </a:graphic>
          </wp:inline>
        </w:drawing>
      </w:r>
    </w:p>
    <w:p w14:paraId="25958EEB" w14:textId="77777777" w:rsidR="00A53146" w:rsidRPr="00973936" w:rsidRDefault="00A53146" w:rsidP="00A53146">
      <w:pPr>
        <w:shd w:val="clear" w:color="auto" w:fill="FFFFFF"/>
        <w:spacing w:before="240" w:after="240" w:line="240" w:lineRule="auto"/>
        <w:rPr>
          <w:rFonts w:ascii="Times New Roman" w:eastAsia="Times New Roman" w:hAnsi="Times New Roman" w:cs="Times New Roman"/>
          <w:bCs/>
          <w:color w:val="0F1115"/>
          <w:sz w:val="24"/>
          <w:szCs w:val="24"/>
        </w:rPr>
      </w:pPr>
      <w:r w:rsidRPr="00973936">
        <w:rPr>
          <w:rFonts w:ascii="Times New Roman" w:eastAsia="Times New Roman" w:hAnsi="Times New Roman" w:cs="Times New Roman"/>
          <w:b/>
          <w:bCs/>
          <w:color w:val="0F1115"/>
          <w:sz w:val="24"/>
          <w:szCs w:val="24"/>
        </w:rPr>
        <w:t>Figure S1.</w:t>
      </w:r>
      <w:r w:rsidRPr="00973936">
        <w:rPr>
          <w:rFonts w:ascii="Times New Roman" w:eastAsia="Times New Roman" w:hAnsi="Times New Roman" w:cs="Times New Roman"/>
          <w:bCs/>
          <w:color w:val="0F1115"/>
          <w:sz w:val="24"/>
          <w:szCs w:val="24"/>
        </w:rPr>
        <w:t xml:space="preserve"> Residual Spatial Autocorrelation Pattern. Visual representation of SDM residuals, highlighting localized clusters of unexplained variation.</w:t>
      </w:r>
    </w:p>
    <w:p w14:paraId="75989766" w14:textId="77777777" w:rsidR="003A7F72" w:rsidRPr="003A7F72" w:rsidRDefault="003A7F72" w:rsidP="00A5314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Visual representation of SDM residuals across the 2,680-unit hexagonal grid. The map highlights localized clusters of unexplained variation, with positive residuals (blue) indicating areas where the model underpredicts economic activity and negative residuals (red) indicating overprediction. While residual spatial dependence remains statistically significant (Moran's I = 0.1478, p &lt; 0.01), the pattern is spatially limited and does not compromise the overall inferential stability of the framework.</w:t>
      </w:r>
    </w:p>
    <w:p w14:paraId="79F50F93" w14:textId="77777777" w:rsidR="003A7F72" w:rsidRPr="003A7F72" w:rsidRDefault="003A7F72" w:rsidP="003A7F72">
      <w:pPr>
        <w:shd w:val="clear" w:color="auto" w:fill="FFFFFF"/>
        <w:spacing w:before="240" w:after="240" w:line="240" w:lineRule="auto"/>
        <w:rPr>
          <w:rFonts w:ascii="Times New Roman" w:eastAsia="Times New Roman" w:hAnsi="Times New Roman" w:cs="Times New Roman"/>
          <w:color w:val="0F1115"/>
          <w:sz w:val="24"/>
          <w:szCs w:val="24"/>
        </w:rPr>
      </w:pPr>
      <w:r w:rsidRPr="003A7F72">
        <w:rPr>
          <w:rFonts w:ascii="Times New Roman" w:eastAsia="Times New Roman" w:hAnsi="Times New Roman" w:cs="Times New Roman"/>
          <w:b/>
          <w:bCs/>
          <w:color w:val="0F1115"/>
          <w:sz w:val="24"/>
          <w:szCs w:val="24"/>
        </w:rPr>
        <w:t>Figure S2. SHAP Summary Plot</w:t>
      </w:r>
    </w:p>
    <w:p w14:paraId="49636D6B" w14:textId="77777777" w:rsidR="003A7F72" w:rsidRPr="00973936" w:rsidRDefault="003A7F72" w:rsidP="00A5314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Global importance ranking and direction of variable contributions to GeoAI predictions. Each dot represents a single observation's SHAP value for a given feature. The x-axis shows the SHAP value (impact on model output), and the y-axis lists features in descending order of importance. The color scale indicates feature value (red = high, blue = low). Results indicate that NDVI and the interaction term (NTL × NDVI) are the most influential predictors, confirming the role of environmental conditions in moderating infrastructure performance. Variable importance ranking based on mean absolute SHAP values is as follows: NTL × NDVI Interaction (34.2%), NDVI (28.7%), Rainfall (15.1%), Population Density (12.8%), and MNDWI (9.2%).</w:t>
      </w:r>
    </w:p>
    <w:p w14:paraId="066974D2" w14:textId="77777777" w:rsidR="00973936" w:rsidRPr="00973936" w:rsidRDefault="00973936" w:rsidP="00A53146">
      <w:pPr>
        <w:shd w:val="clear" w:color="auto" w:fill="FFFFFF"/>
        <w:spacing w:before="240" w:after="240" w:line="276" w:lineRule="auto"/>
        <w:jc w:val="both"/>
        <w:rPr>
          <w:rFonts w:ascii="Times New Roman" w:eastAsia="Times New Roman" w:hAnsi="Times New Roman" w:cs="Times New Roman"/>
          <w:color w:val="0F1115"/>
          <w:sz w:val="24"/>
          <w:szCs w:val="24"/>
        </w:rPr>
      </w:pPr>
      <w:r w:rsidRPr="00973936">
        <w:rPr>
          <w:rFonts w:ascii="Times New Roman" w:hAnsi="Times New Roman" w:cs="Times New Roman"/>
          <w:noProof/>
        </w:rPr>
        <w:lastRenderedPageBreak/>
        <w:drawing>
          <wp:inline distT="0" distB="0" distL="0" distR="0" wp14:anchorId="040068E1" wp14:editId="1EC43504">
            <wp:extent cx="5199888" cy="3095219"/>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7499" r="100"/>
                    <a:stretch/>
                  </pic:blipFill>
                  <pic:spPr bwMode="auto">
                    <a:xfrm>
                      <a:off x="0" y="0"/>
                      <a:ext cx="5211725" cy="3102265"/>
                    </a:xfrm>
                    <a:prstGeom prst="rect">
                      <a:avLst/>
                    </a:prstGeom>
                    <a:noFill/>
                    <a:ln>
                      <a:noFill/>
                    </a:ln>
                    <a:extLst>
                      <a:ext uri="{53640926-AAD7-44D8-BBD7-CCE9431645EC}">
                        <a14:shadowObscured xmlns:a14="http://schemas.microsoft.com/office/drawing/2010/main"/>
                      </a:ext>
                    </a:extLst>
                  </pic:spPr>
                </pic:pic>
              </a:graphicData>
            </a:graphic>
          </wp:inline>
        </w:drawing>
      </w:r>
    </w:p>
    <w:p w14:paraId="16B352B1" w14:textId="77777777" w:rsidR="00973936" w:rsidRPr="003A7F72" w:rsidRDefault="00973936" w:rsidP="00A53146">
      <w:pPr>
        <w:shd w:val="clear" w:color="auto" w:fill="FFFFFF"/>
        <w:spacing w:before="240" w:after="240" w:line="276" w:lineRule="auto"/>
        <w:jc w:val="both"/>
        <w:rPr>
          <w:rFonts w:ascii="Times New Roman" w:eastAsia="Times New Roman" w:hAnsi="Times New Roman" w:cs="Times New Roman"/>
          <w:color w:val="0F1115"/>
          <w:sz w:val="24"/>
          <w:szCs w:val="24"/>
        </w:rPr>
      </w:pPr>
      <w:r w:rsidRPr="00973936">
        <w:rPr>
          <w:rFonts w:ascii="Times New Roman" w:eastAsia="Times New Roman" w:hAnsi="Times New Roman" w:cs="Times New Roman"/>
          <w:b/>
          <w:bCs/>
          <w:color w:val="0F1115"/>
          <w:sz w:val="24"/>
          <w:szCs w:val="24"/>
        </w:rPr>
        <w:t>Figure S2</w:t>
      </w:r>
      <w:r w:rsidRPr="00973936">
        <w:rPr>
          <w:rFonts w:ascii="Times New Roman" w:eastAsia="Times New Roman" w:hAnsi="Times New Roman" w:cs="Times New Roman"/>
          <w:bCs/>
          <w:color w:val="0F1115"/>
          <w:sz w:val="24"/>
          <w:szCs w:val="24"/>
        </w:rPr>
        <w:t xml:space="preserve">. SHAP Summary Plot. </w:t>
      </w:r>
      <w:r w:rsidRPr="00973936">
        <w:rPr>
          <w:rFonts w:ascii="Times New Roman" w:eastAsia="Times New Roman" w:hAnsi="Times New Roman" w:cs="Times New Roman"/>
          <w:color w:val="0F1115"/>
          <w:sz w:val="24"/>
          <w:szCs w:val="24"/>
        </w:rPr>
        <w:t>Global importance ranking of variables contributing to GeoAI predictions. The results indicate that NDVI and the interaction term (NTL × NDVI) are the most influential predictors, confirming the role of environmental conditions in moderating infrastructure performance.</w:t>
      </w:r>
    </w:p>
    <w:p w14:paraId="7877FED4" w14:textId="77777777" w:rsidR="00973936" w:rsidRPr="00973936" w:rsidRDefault="00973936" w:rsidP="003A7F72">
      <w:pPr>
        <w:shd w:val="clear" w:color="auto" w:fill="FFFFFF"/>
        <w:spacing w:before="240" w:after="240" w:line="240" w:lineRule="auto"/>
        <w:rPr>
          <w:rFonts w:ascii="Times New Roman" w:eastAsia="Times New Roman" w:hAnsi="Times New Roman" w:cs="Times New Roman"/>
          <w:b/>
          <w:bCs/>
          <w:color w:val="0F1115"/>
          <w:sz w:val="24"/>
          <w:szCs w:val="24"/>
        </w:rPr>
      </w:pPr>
      <w:r w:rsidRPr="00973936">
        <w:rPr>
          <w:rFonts w:ascii="Times New Roman" w:hAnsi="Times New Roman" w:cs="Times New Roman"/>
          <w:noProof/>
        </w:rPr>
        <w:drawing>
          <wp:inline distT="0" distB="0" distL="0" distR="0" wp14:anchorId="6832938C" wp14:editId="77534B6E">
            <wp:extent cx="5516449" cy="3252582"/>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339" r="-1028"/>
                    <a:stretch/>
                  </pic:blipFill>
                  <pic:spPr bwMode="auto">
                    <a:xfrm>
                      <a:off x="0" y="0"/>
                      <a:ext cx="5525227" cy="3257758"/>
                    </a:xfrm>
                    <a:prstGeom prst="rect">
                      <a:avLst/>
                    </a:prstGeom>
                    <a:noFill/>
                    <a:ln>
                      <a:noFill/>
                    </a:ln>
                    <a:extLst>
                      <a:ext uri="{53640926-AAD7-44D8-BBD7-CCE9431645EC}">
                        <a14:shadowObscured xmlns:a14="http://schemas.microsoft.com/office/drawing/2010/main"/>
                      </a:ext>
                    </a:extLst>
                  </pic:spPr>
                </pic:pic>
              </a:graphicData>
            </a:graphic>
          </wp:inline>
        </w:drawing>
      </w:r>
    </w:p>
    <w:p w14:paraId="2E780380" w14:textId="77777777" w:rsidR="00973936" w:rsidRPr="00973936" w:rsidRDefault="00973936" w:rsidP="00973936">
      <w:pPr>
        <w:shd w:val="clear" w:color="auto" w:fill="FFFFFF"/>
        <w:spacing w:before="240" w:after="240" w:line="276" w:lineRule="auto"/>
        <w:jc w:val="both"/>
        <w:rPr>
          <w:rFonts w:ascii="Times New Roman" w:eastAsia="Times New Roman" w:hAnsi="Times New Roman" w:cs="Times New Roman"/>
          <w:bCs/>
          <w:color w:val="0F1115"/>
          <w:sz w:val="24"/>
          <w:szCs w:val="24"/>
        </w:rPr>
      </w:pPr>
      <w:r w:rsidRPr="00973936">
        <w:rPr>
          <w:rFonts w:ascii="Times New Roman" w:eastAsia="Times New Roman" w:hAnsi="Times New Roman" w:cs="Times New Roman"/>
          <w:b/>
          <w:bCs/>
          <w:color w:val="0F1115"/>
          <w:sz w:val="24"/>
          <w:szCs w:val="24"/>
        </w:rPr>
        <w:t xml:space="preserve">Figure S3. </w:t>
      </w:r>
      <w:r w:rsidRPr="00973936">
        <w:rPr>
          <w:rFonts w:ascii="Times New Roman" w:eastAsia="Times New Roman" w:hAnsi="Times New Roman" w:cs="Times New Roman"/>
          <w:bCs/>
          <w:color w:val="0F1115"/>
          <w:sz w:val="24"/>
          <w:szCs w:val="24"/>
        </w:rPr>
        <w:t xml:space="preserve">Threshold response curve illustrating the non-linear relationship between NDVI and economic activity. The curve shows a critical transition at approximately NDVI ≤ −0.8 standard </w:t>
      </w:r>
      <w:r w:rsidRPr="00973936">
        <w:rPr>
          <w:rFonts w:ascii="Times New Roman" w:eastAsia="Times New Roman" w:hAnsi="Times New Roman" w:cs="Times New Roman"/>
          <w:bCs/>
          <w:color w:val="0F1115"/>
          <w:sz w:val="24"/>
          <w:szCs w:val="24"/>
        </w:rPr>
        <w:lastRenderedPageBreak/>
        <w:t>deviations, beyond which the marginal contribution of infrastructure declines, indicating reduced system efficiency</w:t>
      </w:r>
    </w:p>
    <w:p w14:paraId="4D2B2256" w14:textId="77777777" w:rsidR="00973936" w:rsidRPr="00973936" w:rsidRDefault="003A7F72" w:rsidP="00973936">
      <w:pPr>
        <w:shd w:val="clear" w:color="auto" w:fill="FFFFFF"/>
        <w:spacing w:before="240" w:after="240" w:line="276" w:lineRule="auto"/>
        <w:jc w:val="both"/>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Non-linear relationship between NDVI and economic activity, derived from SHAP marginal effects analysis. The curve shows a critical transition at approximately NDVI ≤ −0.8σ, beyond which the marginal contribution of infrastructure declines substantially. This threshold represents a structural transition point at which environmental degradation begins to disrupt the functional relationship between infrastructure connectivity and regional economic productivity. The shaded region indicates the 95% confidence interval. Below this threshold, spillover transmission weakens substantially, producing fragmented development patterns, declining interaction intensity, and increasing regional vulnerability. The threshold remains stable across alternative model specifications, confirming that it reflects a structural property of the system rather than a model artifact.</w:t>
      </w:r>
    </w:p>
    <w:p w14:paraId="0AD1191C" w14:textId="77777777" w:rsidR="003A7F72" w:rsidRPr="003A7F72" w:rsidRDefault="003A7F72" w:rsidP="003A7F72">
      <w:pPr>
        <w:shd w:val="clear" w:color="auto" w:fill="FFFFFF"/>
        <w:spacing w:before="480" w:after="240" w:line="450" w:lineRule="atLeast"/>
        <w:outlineLvl w:val="2"/>
        <w:rPr>
          <w:rFonts w:ascii="Times New Roman" w:eastAsia="Times New Roman" w:hAnsi="Times New Roman" w:cs="Times New Roman"/>
          <w:b/>
          <w:bCs/>
          <w:color w:val="0F1115"/>
          <w:sz w:val="30"/>
          <w:szCs w:val="30"/>
        </w:rPr>
      </w:pPr>
      <w:r w:rsidRPr="003A7F72">
        <w:rPr>
          <w:rFonts w:ascii="Times New Roman" w:eastAsia="Times New Roman" w:hAnsi="Times New Roman" w:cs="Times New Roman"/>
          <w:b/>
          <w:bCs/>
          <w:color w:val="0F1115"/>
          <w:sz w:val="30"/>
          <w:szCs w:val="30"/>
        </w:rPr>
        <w:t>S9. References (Supplementary)</w:t>
      </w:r>
    </w:p>
    <w:p w14:paraId="12BCEED0"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proofErr w:type="spellStart"/>
      <w:r w:rsidRPr="003A7F72">
        <w:rPr>
          <w:rFonts w:ascii="Times New Roman" w:eastAsia="Times New Roman" w:hAnsi="Times New Roman" w:cs="Times New Roman"/>
          <w:color w:val="0F1115"/>
          <w:sz w:val="24"/>
          <w:szCs w:val="24"/>
        </w:rPr>
        <w:t>Elvidge</w:t>
      </w:r>
      <w:proofErr w:type="spellEnd"/>
      <w:r w:rsidRPr="003A7F72">
        <w:rPr>
          <w:rFonts w:ascii="Times New Roman" w:eastAsia="Times New Roman" w:hAnsi="Times New Roman" w:cs="Times New Roman"/>
          <w:color w:val="0F1115"/>
          <w:sz w:val="24"/>
          <w:szCs w:val="24"/>
        </w:rPr>
        <w:t xml:space="preserve">, C. D., Baugh, K. E., </w:t>
      </w:r>
      <w:proofErr w:type="spellStart"/>
      <w:r w:rsidRPr="003A7F72">
        <w:rPr>
          <w:rFonts w:ascii="Times New Roman" w:eastAsia="Times New Roman" w:hAnsi="Times New Roman" w:cs="Times New Roman"/>
          <w:color w:val="0F1115"/>
          <w:sz w:val="24"/>
          <w:szCs w:val="24"/>
        </w:rPr>
        <w:t>Zhizhin</w:t>
      </w:r>
      <w:proofErr w:type="spellEnd"/>
      <w:r w:rsidRPr="003A7F72">
        <w:rPr>
          <w:rFonts w:ascii="Times New Roman" w:eastAsia="Times New Roman" w:hAnsi="Times New Roman" w:cs="Times New Roman"/>
          <w:color w:val="0F1115"/>
          <w:sz w:val="24"/>
          <w:szCs w:val="24"/>
        </w:rPr>
        <w:t>, M., &amp; Hsu, F. C. (2014). Why VIIRS data are superior to DMSP for mapping nighttime lights. </w:t>
      </w:r>
      <w:r w:rsidRPr="003A7F72">
        <w:rPr>
          <w:rFonts w:ascii="Times New Roman" w:eastAsia="Times New Roman" w:hAnsi="Times New Roman" w:cs="Times New Roman"/>
          <w:i/>
          <w:iCs/>
          <w:color w:val="0F1115"/>
          <w:sz w:val="24"/>
          <w:szCs w:val="24"/>
        </w:rPr>
        <w:t>Proceedings of the Asia-Pacific Advanced Network</w:t>
      </w:r>
      <w:r w:rsidRPr="003A7F72">
        <w:rPr>
          <w:rFonts w:ascii="Times New Roman" w:eastAsia="Times New Roman" w:hAnsi="Times New Roman" w:cs="Times New Roman"/>
          <w:color w:val="0F1115"/>
          <w:sz w:val="24"/>
          <w:szCs w:val="24"/>
        </w:rPr>
        <w:t>, 35, 62–69.</w:t>
      </w:r>
    </w:p>
    <w:p w14:paraId="75225868"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Farr, T. G., Rosen, P. A., Caro, E., et al. (2007). The Shuttle Radar Topography Mission. </w:t>
      </w:r>
      <w:r w:rsidRPr="003A7F72">
        <w:rPr>
          <w:rFonts w:ascii="Times New Roman" w:eastAsia="Times New Roman" w:hAnsi="Times New Roman" w:cs="Times New Roman"/>
          <w:i/>
          <w:iCs/>
          <w:color w:val="0F1115"/>
          <w:sz w:val="24"/>
          <w:szCs w:val="24"/>
        </w:rPr>
        <w:t>Reviews of Geophysics</w:t>
      </w:r>
      <w:r w:rsidRPr="003A7F72">
        <w:rPr>
          <w:rFonts w:ascii="Times New Roman" w:eastAsia="Times New Roman" w:hAnsi="Times New Roman" w:cs="Times New Roman"/>
          <w:color w:val="0F1115"/>
          <w:sz w:val="24"/>
          <w:szCs w:val="24"/>
        </w:rPr>
        <w:t>, 45(2), RG2004.</w:t>
      </w:r>
    </w:p>
    <w:p w14:paraId="41A68C7C"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 xml:space="preserve">Funk, C., Peterson, P., </w:t>
      </w:r>
      <w:proofErr w:type="spellStart"/>
      <w:r w:rsidRPr="003A7F72">
        <w:rPr>
          <w:rFonts w:ascii="Times New Roman" w:eastAsia="Times New Roman" w:hAnsi="Times New Roman" w:cs="Times New Roman"/>
          <w:color w:val="0F1115"/>
          <w:sz w:val="24"/>
          <w:szCs w:val="24"/>
        </w:rPr>
        <w:t>Landsfeld</w:t>
      </w:r>
      <w:proofErr w:type="spellEnd"/>
      <w:r w:rsidRPr="003A7F72">
        <w:rPr>
          <w:rFonts w:ascii="Times New Roman" w:eastAsia="Times New Roman" w:hAnsi="Times New Roman" w:cs="Times New Roman"/>
          <w:color w:val="0F1115"/>
          <w:sz w:val="24"/>
          <w:szCs w:val="24"/>
        </w:rPr>
        <w:t>, M., et al. (2015). The climate hazards infrared precipitation with stations—a new environmental record for monitoring extremes. </w:t>
      </w:r>
      <w:r w:rsidRPr="003A7F72">
        <w:rPr>
          <w:rFonts w:ascii="Times New Roman" w:eastAsia="Times New Roman" w:hAnsi="Times New Roman" w:cs="Times New Roman"/>
          <w:i/>
          <w:iCs/>
          <w:color w:val="0F1115"/>
          <w:sz w:val="24"/>
          <w:szCs w:val="24"/>
        </w:rPr>
        <w:t>Scientific Data</w:t>
      </w:r>
      <w:r w:rsidRPr="003A7F72">
        <w:rPr>
          <w:rFonts w:ascii="Times New Roman" w:eastAsia="Times New Roman" w:hAnsi="Times New Roman" w:cs="Times New Roman"/>
          <w:color w:val="0F1115"/>
          <w:sz w:val="24"/>
          <w:szCs w:val="24"/>
        </w:rPr>
        <w:t>, 2, 150066.</w:t>
      </w:r>
    </w:p>
    <w:p w14:paraId="2D6850E2"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 xml:space="preserve">Li, X., Zhao, L., Li, D., &amp; Xu, H. (2020). Mapping urban extent using </w:t>
      </w:r>
      <w:proofErr w:type="spellStart"/>
      <w:r w:rsidRPr="003A7F72">
        <w:rPr>
          <w:rFonts w:ascii="Times New Roman" w:eastAsia="Times New Roman" w:hAnsi="Times New Roman" w:cs="Times New Roman"/>
          <w:color w:val="0F1115"/>
          <w:sz w:val="24"/>
          <w:szCs w:val="24"/>
        </w:rPr>
        <w:t>Luojia</w:t>
      </w:r>
      <w:proofErr w:type="spellEnd"/>
      <w:r w:rsidRPr="003A7F72">
        <w:rPr>
          <w:rFonts w:ascii="Times New Roman" w:eastAsia="Times New Roman" w:hAnsi="Times New Roman" w:cs="Times New Roman"/>
          <w:color w:val="0F1115"/>
          <w:sz w:val="24"/>
          <w:szCs w:val="24"/>
        </w:rPr>
        <w:t xml:space="preserve"> 1-01 nighttime light imagery. </w:t>
      </w:r>
      <w:r w:rsidRPr="003A7F72">
        <w:rPr>
          <w:rFonts w:ascii="Times New Roman" w:eastAsia="Times New Roman" w:hAnsi="Times New Roman" w:cs="Times New Roman"/>
          <w:i/>
          <w:iCs/>
          <w:color w:val="0F1115"/>
          <w:sz w:val="24"/>
          <w:szCs w:val="24"/>
        </w:rPr>
        <w:t>Sensors</w:t>
      </w:r>
      <w:r w:rsidRPr="003A7F72">
        <w:rPr>
          <w:rFonts w:ascii="Times New Roman" w:eastAsia="Times New Roman" w:hAnsi="Times New Roman" w:cs="Times New Roman"/>
          <w:color w:val="0F1115"/>
          <w:sz w:val="24"/>
          <w:szCs w:val="24"/>
        </w:rPr>
        <w:t>, 20(18), 5103.</w:t>
      </w:r>
    </w:p>
    <w:p w14:paraId="15F3ADCB"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O'Brien, R. M. (2007). A caution regarding rules of thumb for variance inflation factors. </w:t>
      </w:r>
      <w:r w:rsidRPr="003A7F72">
        <w:rPr>
          <w:rFonts w:ascii="Times New Roman" w:eastAsia="Times New Roman" w:hAnsi="Times New Roman" w:cs="Times New Roman"/>
          <w:i/>
          <w:iCs/>
          <w:color w:val="0F1115"/>
          <w:sz w:val="24"/>
          <w:szCs w:val="24"/>
        </w:rPr>
        <w:t>Quality &amp; Quantity</w:t>
      </w:r>
      <w:r w:rsidRPr="003A7F72">
        <w:rPr>
          <w:rFonts w:ascii="Times New Roman" w:eastAsia="Times New Roman" w:hAnsi="Times New Roman" w:cs="Times New Roman"/>
          <w:color w:val="0F1115"/>
          <w:sz w:val="24"/>
          <w:szCs w:val="24"/>
        </w:rPr>
        <w:t>, 41, 673–690.</w:t>
      </w:r>
    </w:p>
    <w:p w14:paraId="405F075C"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 xml:space="preserve">Roberts, D. R., Bahn, V., </w:t>
      </w:r>
      <w:proofErr w:type="spellStart"/>
      <w:r w:rsidRPr="003A7F72">
        <w:rPr>
          <w:rFonts w:ascii="Times New Roman" w:eastAsia="Times New Roman" w:hAnsi="Times New Roman" w:cs="Times New Roman"/>
          <w:color w:val="0F1115"/>
          <w:sz w:val="24"/>
          <w:szCs w:val="24"/>
        </w:rPr>
        <w:t>Ciuti</w:t>
      </w:r>
      <w:proofErr w:type="spellEnd"/>
      <w:r w:rsidRPr="003A7F72">
        <w:rPr>
          <w:rFonts w:ascii="Times New Roman" w:eastAsia="Times New Roman" w:hAnsi="Times New Roman" w:cs="Times New Roman"/>
          <w:color w:val="0F1115"/>
          <w:sz w:val="24"/>
          <w:szCs w:val="24"/>
        </w:rPr>
        <w:t>, S., et al. (2017). Cross-validation strategies for data with temporal, spatial, hierarchical, or phylogenetic structure. </w:t>
      </w:r>
      <w:proofErr w:type="spellStart"/>
      <w:r w:rsidRPr="003A7F72">
        <w:rPr>
          <w:rFonts w:ascii="Times New Roman" w:eastAsia="Times New Roman" w:hAnsi="Times New Roman" w:cs="Times New Roman"/>
          <w:i/>
          <w:iCs/>
          <w:color w:val="0F1115"/>
          <w:sz w:val="24"/>
          <w:szCs w:val="24"/>
        </w:rPr>
        <w:t>Ecography</w:t>
      </w:r>
      <w:proofErr w:type="spellEnd"/>
      <w:r w:rsidRPr="003A7F72">
        <w:rPr>
          <w:rFonts w:ascii="Times New Roman" w:eastAsia="Times New Roman" w:hAnsi="Times New Roman" w:cs="Times New Roman"/>
          <w:color w:val="0F1115"/>
          <w:sz w:val="24"/>
          <w:szCs w:val="24"/>
        </w:rPr>
        <w:t>, 40, 913–929.</w:t>
      </w:r>
    </w:p>
    <w:p w14:paraId="18AA1A42" w14:textId="77777777" w:rsidR="003A7F72" w:rsidRPr="003A7F72" w:rsidRDefault="003A7F72" w:rsidP="003A7F72">
      <w:pPr>
        <w:numPr>
          <w:ilvl w:val="0"/>
          <w:numId w:val="4"/>
        </w:numPr>
        <w:shd w:val="clear" w:color="auto" w:fill="FFFFFF"/>
        <w:spacing w:before="100" w:beforeAutospacing="1" w:after="0" w:line="240" w:lineRule="auto"/>
        <w:ind w:left="0"/>
        <w:rPr>
          <w:rFonts w:ascii="Times New Roman" w:eastAsia="Times New Roman" w:hAnsi="Times New Roman" w:cs="Times New Roman"/>
          <w:color w:val="0F1115"/>
          <w:sz w:val="24"/>
          <w:szCs w:val="24"/>
        </w:rPr>
      </w:pPr>
      <w:r w:rsidRPr="003A7F72">
        <w:rPr>
          <w:rFonts w:ascii="Times New Roman" w:eastAsia="Times New Roman" w:hAnsi="Times New Roman" w:cs="Times New Roman"/>
          <w:color w:val="0F1115"/>
          <w:sz w:val="24"/>
          <w:szCs w:val="24"/>
        </w:rPr>
        <w:t>WorldPop. (2020). </w:t>
      </w:r>
      <w:r w:rsidRPr="003A7F72">
        <w:rPr>
          <w:rFonts w:ascii="Times New Roman" w:eastAsia="Times New Roman" w:hAnsi="Times New Roman" w:cs="Times New Roman"/>
          <w:i/>
          <w:iCs/>
          <w:color w:val="0F1115"/>
          <w:sz w:val="24"/>
          <w:szCs w:val="24"/>
        </w:rPr>
        <w:t>Global high-resolution population denominators project</w:t>
      </w:r>
      <w:r w:rsidRPr="003A7F72">
        <w:rPr>
          <w:rFonts w:ascii="Times New Roman" w:eastAsia="Times New Roman" w:hAnsi="Times New Roman" w:cs="Times New Roman"/>
          <w:color w:val="0F1115"/>
          <w:sz w:val="24"/>
          <w:szCs w:val="24"/>
        </w:rPr>
        <w:t>. University of Southampton.</w:t>
      </w:r>
    </w:p>
    <w:p w14:paraId="50BE148A" w14:textId="77777777" w:rsidR="00626D7A" w:rsidRPr="00973936" w:rsidRDefault="00626D7A" w:rsidP="003A7F72">
      <w:pPr>
        <w:rPr>
          <w:rFonts w:ascii="Times New Roman" w:hAnsi="Times New Roman" w:cs="Times New Roman"/>
        </w:rPr>
      </w:pPr>
    </w:p>
    <w:sectPr w:rsidR="00626D7A" w:rsidRPr="00973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78A3"/>
    <w:multiLevelType w:val="multilevel"/>
    <w:tmpl w:val="ACA2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B052B1"/>
    <w:multiLevelType w:val="multilevel"/>
    <w:tmpl w:val="150CC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35D6F8F"/>
    <w:multiLevelType w:val="multilevel"/>
    <w:tmpl w:val="FDD8E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BB0D0C"/>
    <w:multiLevelType w:val="multilevel"/>
    <w:tmpl w:val="6B7AB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25"/>
    <w:rsid w:val="000D3D51"/>
    <w:rsid w:val="003A7F72"/>
    <w:rsid w:val="00626D7A"/>
    <w:rsid w:val="00950EFE"/>
    <w:rsid w:val="00973936"/>
    <w:rsid w:val="00A00425"/>
    <w:rsid w:val="00A51480"/>
    <w:rsid w:val="00A53146"/>
    <w:rsid w:val="00D603F6"/>
    <w:rsid w:val="00F00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E273D"/>
  <w15:chartTrackingRefBased/>
  <w15:docId w15:val="{82740492-52D6-41AF-A65C-4FB6905A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0425"/>
    <w:rPr>
      <w:color w:val="0563C1" w:themeColor="hyperlink"/>
      <w:u w:val="single"/>
    </w:rPr>
  </w:style>
  <w:style w:type="character" w:styleId="UnresolvedMention">
    <w:name w:val="Unresolved Mention"/>
    <w:basedOn w:val="DefaultParagraphFont"/>
    <w:uiPriority w:val="99"/>
    <w:semiHidden/>
    <w:unhideWhenUsed/>
    <w:rsid w:val="00A00425"/>
    <w:rPr>
      <w:color w:val="605E5C"/>
      <w:shd w:val="clear" w:color="auto" w:fill="E1DFDD"/>
    </w:rPr>
  </w:style>
  <w:style w:type="table" w:styleId="TableGridLight">
    <w:name w:val="Grid Table Light"/>
    <w:basedOn w:val="TableNormal"/>
    <w:uiPriority w:val="40"/>
    <w:rsid w:val="00A51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markdown-paragraph">
    <w:name w:val="ds-markdown-paragraph"/>
    <w:basedOn w:val="Normal"/>
    <w:rsid w:val="00950E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50EFE"/>
    <w:rPr>
      <w:b/>
      <w:bCs/>
    </w:rPr>
  </w:style>
  <w:style w:type="character" w:customStyle="1" w:styleId="katex-mathml">
    <w:name w:val="katex-mathml"/>
    <w:basedOn w:val="DefaultParagraphFont"/>
    <w:rsid w:val="00950EFE"/>
  </w:style>
  <w:style w:type="character" w:customStyle="1" w:styleId="mord">
    <w:name w:val="mord"/>
    <w:basedOn w:val="DefaultParagraphFont"/>
    <w:rsid w:val="00950EFE"/>
  </w:style>
  <w:style w:type="character" w:customStyle="1" w:styleId="mrel">
    <w:name w:val="mrel"/>
    <w:basedOn w:val="DefaultParagraphFont"/>
    <w:rsid w:val="00950EFE"/>
  </w:style>
  <w:style w:type="character" w:customStyle="1" w:styleId="mopen">
    <w:name w:val="mopen"/>
    <w:basedOn w:val="DefaultParagraphFont"/>
    <w:rsid w:val="00950EFE"/>
  </w:style>
  <w:style w:type="character" w:customStyle="1" w:styleId="mbin">
    <w:name w:val="mbin"/>
    <w:basedOn w:val="DefaultParagraphFont"/>
    <w:rsid w:val="00950EFE"/>
  </w:style>
  <w:style w:type="character" w:customStyle="1" w:styleId="mclose">
    <w:name w:val="mclose"/>
    <w:basedOn w:val="DefaultParagraphFont"/>
    <w:rsid w:val="00950EFE"/>
  </w:style>
  <w:style w:type="character" w:customStyle="1" w:styleId="vlist-s">
    <w:name w:val="vlist-s"/>
    <w:basedOn w:val="DefaultParagraphFont"/>
    <w:rsid w:val="00950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235365">
      <w:bodyDiv w:val="1"/>
      <w:marLeft w:val="0"/>
      <w:marRight w:val="0"/>
      <w:marTop w:val="0"/>
      <w:marBottom w:val="0"/>
      <w:divBdr>
        <w:top w:val="none" w:sz="0" w:space="0" w:color="auto"/>
        <w:left w:val="none" w:sz="0" w:space="0" w:color="auto"/>
        <w:bottom w:val="none" w:sz="0" w:space="0" w:color="auto"/>
        <w:right w:val="none" w:sz="0" w:space="0" w:color="auto"/>
      </w:divBdr>
    </w:div>
    <w:div w:id="1069379003">
      <w:bodyDiv w:val="1"/>
      <w:marLeft w:val="0"/>
      <w:marRight w:val="0"/>
      <w:marTop w:val="0"/>
      <w:marBottom w:val="0"/>
      <w:divBdr>
        <w:top w:val="none" w:sz="0" w:space="0" w:color="auto"/>
        <w:left w:val="none" w:sz="0" w:space="0" w:color="auto"/>
        <w:bottom w:val="none" w:sz="0" w:space="0" w:color="auto"/>
        <w:right w:val="none" w:sz="0" w:space="0" w:color="auto"/>
      </w:divBdr>
      <w:divsChild>
        <w:div w:id="1506674348">
          <w:marLeft w:val="0"/>
          <w:marRight w:val="0"/>
          <w:marTop w:val="0"/>
          <w:marBottom w:val="0"/>
          <w:divBdr>
            <w:top w:val="none" w:sz="0" w:space="0" w:color="auto"/>
            <w:left w:val="none" w:sz="0" w:space="0" w:color="auto"/>
            <w:bottom w:val="none" w:sz="0" w:space="0" w:color="auto"/>
            <w:right w:val="none" w:sz="0" w:space="0" w:color="auto"/>
          </w:divBdr>
        </w:div>
        <w:div w:id="1238980711">
          <w:marLeft w:val="0"/>
          <w:marRight w:val="0"/>
          <w:marTop w:val="0"/>
          <w:marBottom w:val="0"/>
          <w:divBdr>
            <w:top w:val="none" w:sz="0" w:space="0" w:color="auto"/>
            <w:left w:val="none" w:sz="0" w:space="0" w:color="auto"/>
            <w:bottom w:val="none" w:sz="0" w:space="0" w:color="auto"/>
            <w:right w:val="none" w:sz="0" w:space="0" w:color="auto"/>
          </w:divBdr>
        </w:div>
        <w:div w:id="2070766964">
          <w:marLeft w:val="0"/>
          <w:marRight w:val="0"/>
          <w:marTop w:val="0"/>
          <w:marBottom w:val="0"/>
          <w:divBdr>
            <w:top w:val="none" w:sz="0" w:space="0" w:color="auto"/>
            <w:left w:val="none" w:sz="0" w:space="0" w:color="auto"/>
            <w:bottom w:val="none" w:sz="0" w:space="0" w:color="auto"/>
            <w:right w:val="none" w:sz="0" w:space="0" w:color="auto"/>
          </w:divBdr>
        </w:div>
        <w:div w:id="1766418028">
          <w:marLeft w:val="0"/>
          <w:marRight w:val="0"/>
          <w:marTop w:val="0"/>
          <w:marBottom w:val="0"/>
          <w:divBdr>
            <w:top w:val="none" w:sz="0" w:space="0" w:color="auto"/>
            <w:left w:val="none" w:sz="0" w:space="0" w:color="auto"/>
            <w:bottom w:val="none" w:sz="0" w:space="0" w:color="auto"/>
            <w:right w:val="none" w:sz="0" w:space="0" w:color="auto"/>
          </w:divBdr>
        </w:div>
        <w:div w:id="1569338386">
          <w:marLeft w:val="0"/>
          <w:marRight w:val="0"/>
          <w:marTop w:val="0"/>
          <w:marBottom w:val="0"/>
          <w:divBdr>
            <w:top w:val="none" w:sz="0" w:space="0" w:color="auto"/>
            <w:left w:val="none" w:sz="0" w:space="0" w:color="auto"/>
            <w:bottom w:val="none" w:sz="0" w:space="0" w:color="auto"/>
            <w:right w:val="none" w:sz="0" w:space="0" w:color="auto"/>
          </w:divBdr>
        </w:div>
        <w:div w:id="1755126971">
          <w:marLeft w:val="0"/>
          <w:marRight w:val="0"/>
          <w:marTop w:val="0"/>
          <w:marBottom w:val="0"/>
          <w:divBdr>
            <w:top w:val="none" w:sz="0" w:space="0" w:color="auto"/>
            <w:left w:val="none" w:sz="0" w:space="0" w:color="auto"/>
            <w:bottom w:val="none" w:sz="0" w:space="0" w:color="auto"/>
            <w:right w:val="none" w:sz="0" w:space="0" w:color="auto"/>
          </w:divBdr>
        </w:div>
        <w:div w:id="172454979">
          <w:marLeft w:val="0"/>
          <w:marRight w:val="0"/>
          <w:marTop w:val="0"/>
          <w:marBottom w:val="0"/>
          <w:divBdr>
            <w:top w:val="none" w:sz="0" w:space="0" w:color="auto"/>
            <w:left w:val="none" w:sz="0" w:space="0" w:color="auto"/>
            <w:bottom w:val="none" w:sz="0" w:space="0" w:color="auto"/>
            <w:right w:val="none" w:sz="0" w:space="0" w:color="auto"/>
          </w:divBdr>
        </w:div>
        <w:div w:id="167529207">
          <w:marLeft w:val="0"/>
          <w:marRight w:val="0"/>
          <w:marTop w:val="0"/>
          <w:marBottom w:val="0"/>
          <w:divBdr>
            <w:top w:val="none" w:sz="0" w:space="0" w:color="auto"/>
            <w:left w:val="none" w:sz="0" w:space="0" w:color="auto"/>
            <w:bottom w:val="none" w:sz="0" w:space="0" w:color="auto"/>
            <w:right w:val="none" w:sz="0" w:space="0" w:color="auto"/>
          </w:divBdr>
        </w:div>
        <w:div w:id="1023361268">
          <w:marLeft w:val="0"/>
          <w:marRight w:val="0"/>
          <w:marTop w:val="0"/>
          <w:marBottom w:val="0"/>
          <w:divBdr>
            <w:top w:val="none" w:sz="0" w:space="0" w:color="auto"/>
            <w:left w:val="none" w:sz="0" w:space="0" w:color="auto"/>
            <w:bottom w:val="none" w:sz="0" w:space="0" w:color="auto"/>
            <w:right w:val="none" w:sz="0" w:space="0" w:color="auto"/>
          </w:divBdr>
        </w:div>
        <w:div w:id="1489715041">
          <w:marLeft w:val="0"/>
          <w:marRight w:val="0"/>
          <w:marTop w:val="0"/>
          <w:marBottom w:val="0"/>
          <w:divBdr>
            <w:top w:val="none" w:sz="0" w:space="0" w:color="auto"/>
            <w:left w:val="none" w:sz="0" w:space="0" w:color="auto"/>
            <w:bottom w:val="none" w:sz="0" w:space="0" w:color="auto"/>
            <w:right w:val="none" w:sz="0" w:space="0" w:color="auto"/>
          </w:divBdr>
        </w:div>
      </w:divsChild>
    </w:div>
    <w:div w:id="150917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A3E24-1EC8-4C78-BA04-EE4D8B6D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Kiwummulo</dc:creator>
  <cp:keywords/>
  <dc:description/>
  <cp:lastModifiedBy>Kiwummulo</cp:lastModifiedBy>
  <cp:revision>4</cp:revision>
  <cp:lastPrinted>2026-06-18T02:08:00Z</cp:lastPrinted>
  <dcterms:created xsi:type="dcterms:W3CDTF">2026-06-16T18:08:00Z</dcterms:created>
  <dcterms:modified xsi:type="dcterms:W3CDTF">2026-06-18T02:08:00Z</dcterms:modified>
</cp:coreProperties>
</file>